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87A908" w14:textId="77777777" w:rsidR="00CF223A" w:rsidRDefault="00000000">
      <w:pPr>
        <w:spacing w:after="40" w:line="259" w:lineRule="auto"/>
      </w:pPr>
      <w:r>
        <w:rPr>
          <w:rFonts w:cs="Calibri"/>
          <w:b/>
          <w:color w:val="1F3A5F"/>
          <w:sz w:val="17"/>
        </w:rPr>
        <w:t>DESIGNOPS  ·  RESPONSIBLE AI</w:t>
      </w:r>
    </w:p>
    <w:p w14:paraId="6C6C6BD3" w14:textId="77777777" w:rsidR="00CF223A" w:rsidRDefault="00000000">
      <w:pPr>
        <w:spacing w:after="0" w:line="259" w:lineRule="auto"/>
      </w:pPr>
      <w:r>
        <w:rPr>
          <w:rFonts w:cs="Calibri"/>
          <w:b/>
          <w:color w:val="1F3A5F"/>
          <w:sz w:val="46"/>
        </w:rPr>
        <w:t>AI Governance for Design Teams</w:t>
      </w:r>
    </w:p>
    <w:p w14:paraId="16716847" w14:textId="77777777" w:rsidR="00CF223A" w:rsidRDefault="00000000">
      <w:pPr>
        <w:pBdr>
          <w:bottom w:val="single" w:sz="6" w:space="2" w:color="C3CDD8"/>
        </w:pBdr>
        <w:spacing w:before="80" w:after="120"/>
      </w:pPr>
      <w:r>
        <w:rPr>
          <w:rFonts w:cs="Calibri"/>
        </w:rPr>
        <w:t>The operational companion to the Guardrails doc. Where Guardrails is what each designer holds in their head, this is how a design org actually runs AI safely: how a tool gets approved, who owns what, how you evaluate vendors, and how you keep it all under review. Adapt the roles and steps to your own structure.</w:t>
      </w:r>
    </w:p>
    <w:p w14:paraId="17BA318E" w14:textId="77777777" w:rsidR="00CF223A" w:rsidRDefault="00000000">
      <w:pPr>
        <w:spacing w:before="260" w:after="20" w:line="259" w:lineRule="auto"/>
      </w:pPr>
      <w:r>
        <w:rPr>
          <w:rFonts w:cs="Calibri"/>
          <w:b/>
          <w:color w:val="C87A12"/>
          <w:sz w:val="17"/>
        </w:rPr>
        <w:t>01</w:t>
      </w:r>
    </w:p>
    <w:p w14:paraId="5D0BCC2E" w14:textId="77777777" w:rsidR="00CF223A" w:rsidRDefault="00000000">
      <w:pPr>
        <w:spacing w:before="20" w:after="40" w:line="259" w:lineRule="auto"/>
      </w:pPr>
      <w:r>
        <w:rPr>
          <w:rFonts w:cs="Calibri"/>
          <w:b/>
          <w:color w:val="1F3A5F"/>
          <w:sz w:val="30"/>
        </w:rPr>
        <w:t>AI tool evaluation scorecard</w:t>
      </w:r>
    </w:p>
    <w:p w14:paraId="28A4F860" w14:textId="77777777" w:rsidR="00CF223A" w:rsidRDefault="00000000">
      <w:pPr>
        <w:spacing w:after="100" w:line="264" w:lineRule="auto"/>
      </w:pPr>
      <w:r>
        <w:rPr>
          <w:rFonts w:cs="Calibri"/>
          <w:i/>
          <w:color w:val="6B7785"/>
          <w:sz w:val="20"/>
        </w:rPr>
        <w:t>Score each tool 1 to 5 before it touches real project data. Any security, data, or legal line below 3 is a blocker until resolved.</w:t>
      </w:r>
    </w:p>
    <w:tbl>
      <w:tblPr>
        <w:tblW w:w="9936" w:type="dxa"/>
        <w:jc w:val="center"/>
        <w:tblBorders>
          <w:top w:val="single" w:sz="4" w:space="0" w:color="C3CDD8"/>
          <w:left w:val="single" w:sz="4" w:space="0" w:color="C3CDD8"/>
          <w:bottom w:val="single" w:sz="4" w:space="0" w:color="C3CDD8"/>
          <w:right w:val="single" w:sz="4" w:space="0" w:color="C3CDD8"/>
          <w:insideH w:val="single" w:sz="4" w:space="0" w:color="C3CDD8"/>
          <w:insideV w:val="single" w:sz="4" w:space="0" w:color="C3CDD8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4936"/>
        <w:gridCol w:w="2000"/>
      </w:tblGrid>
      <w:tr w:rsidR="00CF223A" w14:paraId="41084BAC" w14:textId="77777777">
        <w:trPr>
          <w:tblHeader/>
          <w:jc w:val="center"/>
        </w:trPr>
        <w:tc>
          <w:tcPr>
            <w:tcW w:w="3000" w:type="dxa"/>
            <w:shd w:val="clear" w:color="auto" w:fill="EDF1F5"/>
            <w:tcMar>
              <w:top w:w="60" w:type="dxa"/>
              <w:left w:w="110" w:type="dxa"/>
              <w:bottom w:w="60" w:type="dxa"/>
              <w:right w:w="90" w:type="dxa"/>
            </w:tcMar>
          </w:tcPr>
          <w:p w14:paraId="5BD9316C" w14:textId="77777777" w:rsidR="00CF223A" w:rsidRDefault="00000000">
            <w:pPr>
              <w:spacing w:after="0"/>
            </w:pPr>
            <w:r>
              <w:rPr>
                <w:rFonts w:cs="Calibri"/>
                <w:b/>
                <w:color w:val="1F3A5F"/>
                <w:sz w:val="17"/>
              </w:rPr>
              <w:t>Criterion</w:t>
            </w:r>
          </w:p>
        </w:tc>
        <w:tc>
          <w:tcPr>
            <w:tcW w:w="4936" w:type="dxa"/>
            <w:shd w:val="clear" w:color="auto" w:fill="EDF1F5"/>
            <w:tcMar>
              <w:top w:w="60" w:type="dxa"/>
              <w:left w:w="110" w:type="dxa"/>
              <w:bottom w:w="60" w:type="dxa"/>
              <w:right w:w="90" w:type="dxa"/>
            </w:tcMar>
          </w:tcPr>
          <w:p w14:paraId="3649DF11" w14:textId="77777777" w:rsidR="00CF223A" w:rsidRDefault="00000000">
            <w:pPr>
              <w:spacing w:after="0"/>
            </w:pPr>
            <w:r>
              <w:rPr>
                <w:rFonts w:cs="Calibri"/>
                <w:b/>
                <w:color w:val="1F3A5F"/>
                <w:sz w:val="17"/>
              </w:rPr>
              <w:t>What good looks like</w:t>
            </w:r>
          </w:p>
        </w:tc>
        <w:tc>
          <w:tcPr>
            <w:tcW w:w="2000" w:type="dxa"/>
            <w:shd w:val="clear" w:color="auto" w:fill="EDF1F5"/>
            <w:tcMar>
              <w:top w:w="60" w:type="dxa"/>
              <w:left w:w="110" w:type="dxa"/>
              <w:bottom w:w="60" w:type="dxa"/>
              <w:right w:w="90" w:type="dxa"/>
            </w:tcMar>
          </w:tcPr>
          <w:p w14:paraId="4AFF590E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1F3A5F"/>
                <w:sz w:val="17"/>
              </w:rPr>
              <w:t>Score /5</w:t>
            </w:r>
          </w:p>
        </w:tc>
      </w:tr>
      <w:tr w:rsidR="00CF223A" w14:paraId="04945283" w14:textId="77777777">
        <w:trPr>
          <w:jc w:val="center"/>
        </w:trPr>
        <w:tc>
          <w:tcPr>
            <w:tcW w:w="300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64BDA4D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Data retention &amp; deletion</w:t>
            </w:r>
          </w:p>
        </w:tc>
        <w:tc>
          <w:tcPr>
            <w:tcW w:w="4936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702AD7D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You control how long data is kept and can delete it on demand.</w:t>
            </w:r>
          </w:p>
        </w:tc>
        <w:tc>
          <w:tcPr>
            <w:tcW w:w="200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CC67572" w14:textId="77777777" w:rsidR="00CF223A" w:rsidRDefault="00000000">
            <w:pPr>
              <w:jc w:val="center"/>
            </w:pPr>
            <w:r>
              <w:rPr>
                <w:rFonts w:cs="Calibri"/>
                <w:sz w:val="19"/>
              </w:rPr>
              <w:t xml:space="preserve"> </w:t>
            </w:r>
          </w:p>
        </w:tc>
      </w:tr>
      <w:tr w:rsidR="00CF223A" w14:paraId="0FE01D47" w14:textId="77777777">
        <w:trPr>
          <w:jc w:val="center"/>
        </w:trPr>
        <w:tc>
          <w:tcPr>
            <w:tcW w:w="300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2E12A1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Trains on your inputs</w:t>
            </w:r>
          </w:p>
        </w:tc>
        <w:tc>
          <w:tcPr>
            <w:tcW w:w="4936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78D7652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Off by default, or clearly disableable for your account.</w:t>
            </w:r>
          </w:p>
        </w:tc>
        <w:tc>
          <w:tcPr>
            <w:tcW w:w="200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900D45F" w14:textId="77777777" w:rsidR="00CF223A" w:rsidRDefault="00000000">
            <w:pPr>
              <w:jc w:val="center"/>
            </w:pPr>
            <w:r>
              <w:rPr>
                <w:rFonts w:cs="Calibri"/>
                <w:sz w:val="19"/>
              </w:rPr>
              <w:t xml:space="preserve"> </w:t>
            </w:r>
          </w:p>
        </w:tc>
      </w:tr>
      <w:tr w:rsidR="00CF223A" w14:paraId="2BA4D7A4" w14:textId="77777777">
        <w:trPr>
          <w:jc w:val="center"/>
        </w:trPr>
        <w:tc>
          <w:tcPr>
            <w:tcW w:w="300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3CFDB53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Encryption</w:t>
            </w:r>
          </w:p>
        </w:tc>
        <w:tc>
          <w:tcPr>
            <w:tcW w:w="4936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81DD145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Encrypted in transit and at rest.</w:t>
            </w:r>
          </w:p>
        </w:tc>
        <w:tc>
          <w:tcPr>
            <w:tcW w:w="200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AF24744" w14:textId="77777777" w:rsidR="00CF223A" w:rsidRDefault="00000000">
            <w:pPr>
              <w:jc w:val="center"/>
            </w:pPr>
            <w:r>
              <w:rPr>
                <w:rFonts w:cs="Calibri"/>
                <w:sz w:val="19"/>
              </w:rPr>
              <w:t xml:space="preserve"> </w:t>
            </w:r>
          </w:p>
        </w:tc>
      </w:tr>
      <w:tr w:rsidR="00CF223A" w14:paraId="4C4C0061" w14:textId="77777777">
        <w:trPr>
          <w:jc w:val="center"/>
        </w:trPr>
        <w:tc>
          <w:tcPr>
            <w:tcW w:w="300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DF1838B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SSO &amp; access controls</w:t>
            </w:r>
          </w:p>
        </w:tc>
        <w:tc>
          <w:tcPr>
            <w:tcW w:w="4936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5506AF2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SAML/SSO, role-based access, and admin audit logs.</w:t>
            </w:r>
          </w:p>
        </w:tc>
        <w:tc>
          <w:tcPr>
            <w:tcW w:w="200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923C511" w14:textId="77777777" w:rsidR="00CF223A" w:rsidRDefault="00000000">
            <w:pPr>
              <w:jc w:val="center"/>
            </w:pPr>
            <w:r>
              <w:rPr>
                <w:rFonts w:cs="Calibri"/>
                <w:sz w:val="19"/>
              </w:rPr>
              <w:t xml:space="preserve"> </w:t>
            </w:r>
          </w:p>
        </w:tc>
      </w:tr>
      <w:tr w:rsidR="00CF223A" w14:paraId="79C4BE16" w14:textId="77777777">
        <w:trPr>
          <w:jc w:val="center"/>
        </w:trPr>
        <w:tc>
          <w:tcPr>
            <w:tcW w:w="300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AB775F6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Certifications</w:t>
            </w:r>
          </w:p>
        </w:tc>
        <w:tc>
          <w:tcPr>
            <w:tcW w:w="4936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B35275A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SOC 2 Type II, ISO 27001, and ISO 42001 where relevant.</w:t>
            </w:r>
          </w:p>
        </w:tc>
        <w:tc>
          <w:tcPr>
            <w:tcW w:w="200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1335807" w14:textId="77777777" w:rsidR="00CF223A" w:rsidRDefault="00000000">
            <w:pPr>
              <w:jc w:val="center"/>
            </w:pPr>
            <w:r>
              <w:rPr>
                <w:rFonts w:cs="Calibri"/>
                <w:sz w:val="19"/>
              </w:rPr>
              <w:t xml:space="preserve"> </w:t>
            </w:r>
          </w:p>
        </w:tc>
      </w:tr>
      <w:tr w:rsidR="00CF223A" w14:paraId="32431C8F" w14:textId="77777777">
        <w:trPr>
          <w:jc w:val="center"/>
        </w:trPr>
        <w:tc>
          <w:tcPr>
            <w:tcW w:w="300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BBD3F04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Privacy compliance</w:t>
            </w:r>
          </w:p>
        </w:tc>
        <w:tc>
          <w:tcPr>
            <w:tcW w:w="4936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6273B04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GDPR/CCPA support, a DPA on offer, data-residency options.</w:t>
            </w:r>
          </w:p>
        </w:tc>
        <w:tc>
          <w:tcPr>
            <w:tcW w:w="200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A0FFBFE" w14:textId="77777777" w:rsidR="00CF223A" w:rsidRDefault="00000000">
            <w:pPr>
              <w:jc w:val="center"/>
            </w:pPr>
            <w:r>
              <w:rPr>
                <w:rFonts w:cs="Calibri"/>
                <w:sz w:val="19"/>
              </w:rPr>
              <w:t xml:space="preserve"> </w:t>
            </w:r>
          </w:p>
        </w:tc>
      </w:tr>
      <w:tr w:rsidR="00CF223A" w14:paraId="433D2D59" w14:textId="77777777">
        <w:trPr>
          <w:jc w:val="center"/>
        </w:trPr>
        <w:tc>
          <w:tcPr>
            <w:tcW w:w="300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3AB7942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IP &amp; commercial-use terms</w:t>
            </w:r>
          </w:p>
        </w:tc>
        <w:tc>
          <w:tcPr>
            <w:tcW w:w="4936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457B49C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You own the outputs with clear commercial rights.</w:t>
            </w:r>
          </w:p>
        </w:tc>
        <w:tc>
          <w:tcPr>
            <w:tcW w:w="200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3B8CA7E" w14:textId="77777777" w:rsidR="00CF223A" w:rsidRDefault="00000000">
            <w:pPr>
              <w:jc w:val="center"/>
            </w:pPr>
            <w:r>
              <w:rPr>
                <w:rFonts w:cs="Calibri"/>
                <w:sz w:val="19"/>
              </w:rPr>
              <w:t xml:space="preserve"> </w:t>
            </w:r>
          </w:p>
        </w:tc>
      </w:tr>
      <w:tr w:rsidR="00CF223A" w14:paraId="4634525D" w14:textId="77777777">
        <w:trPr>
          <w:jc w:val="center"/>
        </w:trPr>
        <w:tc>
          <w:tcPr>
            <w:tcW w:w="300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D01868D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Provider transparency</w:t>
            </w:r>
          </w:p>
        </w:tc>
        <w:tc>
          <w:tcPr>
            <w:tcW w:w="4936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E93932E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Clear on which model/provider runs it and where data is processed.</w:t>
            </w:r>
          </w:p>
        </w:tc>
        <w:tc>
          <w:tcPr>
            <w:tcW w:w="200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E82423F" w14:textId="77777777" w:rsidR="00CF223A" w:rsidRDefault="00000000">
            <w:pPr>
              <w:jc w:val="center"/>
            </w:pPr>
            <w:r>
              <w:rPr>
                <w:rFonts w:cs="Calibri"/>
                <w:sz w:val="19"/>
              </w:rPr>
              <w:t xml:space="preserve"> </w:t>
            </w:r>
          </w:p>
        </w:tc>
      </w:tr>
      <w:tr w:rsidR="00CF223A" w14:paraId="13405DB6" w14:textId="77777777">
        <w:trPr>
          <w:jc w:val="center"/>
        </w:trPr>
        <w:tc>
          <w:tcPr>
            <w:tcW w:w="300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0488DB4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Export capability</w:t>
            </w:r>
          </w:p>
        </w:tc>
        <w:tc>
          <w:tcPr>
            <w:tcW w:w="4936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A711D03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You can get your data and work back out of the tool.</w:t>
            </w:r>
          </w:p>
        </w:tc>
        <w:tc>
          <w:tcPr>
            <w:tcW w:w="200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072E823" w14:textId="77777777" w:rsidR="00CF223A" w:rsidRDefault="00000000">
            <w:pPr>
              <w:jc w:val="center"/>
            </w:pPr>
            <w:r>
              <w:rPr>
                <w:rFonts w:cs="Calibri"/>
                <w:sz w:val="19"/>
              </w:rPr>
              <w:t xml:space="preserve"> </w:t>
            </w:r>
          </w:p>
        </w:tc>
      </w:tr>
      <w:tr w:rsidR="00CF223A" w14:paraId="6B9C4C9A" w14:textId="77777777">
        <w:trPr>
          <w:jc w:val="center"/>
        </w:trPr>
        <w:tc>
          <w:tcPr>
            <w:tcW w:w="300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757BE2D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Vendor stability</w:t>
            </w:r>
          </w:p>
        </w:tc>
        <w:tc>
          <w:tcPr>
            <w:tcW w:w="4936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C277A85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Funding, track record, and odds it is still here next year.</w:t>
            </w:r>
          </w:p>
        </w:tc>
        <w:tc>
          <w:tcPr>
            <w:tcW w:w="200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19426AB" w14:textId="77777777" w:rsidR="00CF223A" w:rsidRDefault="00000000">
            <w:pPr>
              <w:jc w:val="center"/>
            </w:pPr>
            <w:r>
              <w:rPr>
                <w:rFonts w:cs="Calibri"/>
                <w:sz w:val="19"/>
              </w:rPr>
              <w:t xml:space="preserve"> </w:t>
            </w:r>
          </w:p>
        </w:tc>
      </w:tr>
      <w:tr w:rsidR="00CF223A" w14:paraId="0093316A" w14:textId="77777777">
        <w:trPr>
          <w:jc w:val="center"/>
        </w:trPr>
        <w:tc>
          <w:tcPr>
            <w:tcW w:w="300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633B205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Support &amp; SLAs</w:t>
            </w:r>
          </w:p>
        </w:tc>
        <w:tc>
          <w:tcPr>
            <w:tcW w:w="4936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841503E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Real response times and uptime commitments.</w:t>
            </w:r>
          </w:p>
        </w:tc>
        <w:tc>
          <w:tcPr>
            <w:tcW w:w="200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CB03FFA" w14:textId="77777777" w:rsidR="00CF223A" w:rsidRDefault="00000000">
            <w:pPr>
              <w:jc w:val="center"/>
            </w:pPr>
            <w:r>
              <w:rPr>
                <w:rFonts w:cs="Calibri"/>
                <w:sz w:val="19"/>
              </w:rPr>
              <w:t xml:space="preserve"> </w:t>
            </w:r>
          </w:p>
        </w:tc>
      </w:tr>
      <w:tr w:rsidR="00CF223A" w14:paraId="2ECA79CA" w14:textId="77777777">
        <w:trPr>
          <w:jc w:val="center"/>
        </w:trPr>
        <w:tc>
          <w:tcPr>
            <w:tcW w:w="300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9DB6FF3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Cost &amp; licensing</w:t>
            </w:r>
          </w:p>
        </w:tc>
        <w:tc>
          <w:tcPr>
            <w:tcW w:w="4936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26278D8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Per-seat vs usage math that holds at team scale.</w:t>
            </w:r>
          </w:p>
        </w:tc>
        <w:tc>
          <w:tcPr>
            <w:tcW w:w="200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6C2EB51" w14:textId="77777777" w:rsidR="00CF223A" w:rsidRDefault="00000000">
            <w:pPr>
              <w:jc w:val="center"/>
            </w:pPr>
            <w:r>
              <w:rPr>
                <w:rFonts w:cs="Calibri"/>
                <w:sz w:val="19"/>
              </w:rPr>
              <w:t xml:space="preserve"> </w:t>
            </w:r>
          </w:p>
        </w:tc>
      </w:tr>
      <w:tr w:rsidR="00CF223A" w14:paraId="0000C5CE" w14:textId="77777777">
        <w:trPr>
          <w:jc w:val="center"/>
        </w:trPr>
        <w:tc>
          <w:tcPr>
            <w:tcW w:w="300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AEFB7F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Workflow integration</w:t>
            </w:r>
          </w:p>
        </w:tc>
        <w:tc>
          <w:tcPr>
            <w:tcW w:w="4936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BF30B0E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Fits your stack (Figma, docs) without friction.</w:t>
            </w:r>
          </w:p>
        </w:tc>
        <w:tc>
          <w:tcPr>
            <w:tcW w:w="200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5FC02B6" w14:textId="77777777" w:rsidR="00CF223A" w:rsidRDefault="00000000">
            <w:pPr>
              <w:jc w:val="center"/>
            </w:pPr>
            <w:r>
              <w:rPr>
                <w:rFonts w:cs="Calibri"/>
                <w:sz w:val="19"/>
              </w:rPr>
              <w:t xml:space="preserve"> </w:t>
            </w:r>
          </w:p>
        </w:tc>
      </w:tr>
    </w:tbl>
    <w:p w14:paraId="38B12077" w14:textId="77777777" w:rsidR="00CF223A" w:rsidRDefault="00000000">
      <w:pPr>
        <w:spacing w:before="80" w:after="0" w:line="264" w:lineRule="auto"/>
      </w:pPr>
      <w:r>
        <w:rPr>
          <w:rFonts w:cs="Calibri"/>
          <w:b/>
          <w:color w:val="1F3A5F"/>
          <w:sz w:val="20"/>
        </w:rPr>
        <w:t xml:space="preserve">Verdict:  </w:t>
      </w:r>
      <w:r>
        <w:rPr>
          <w:rFonts w:cs="Calibri"/>
          <w:sz w:val="20"/>
        </w:rPr>
        <w:t>Approve, approve with conditions, or reject. Record who decided and the date.</w:t>
      </w:r>
    </w:p>
    <w:p w14:paraId="7E374AA6" w14:textId="77777777" w:rsidR="00CF223A" w:rsidRDefault="00000000">
      <w:pPr>
        <w:spacing w:before="260" w:after="20" w:line="259" w:lineRule="auto"/>
      </w:pPr>
      <w:r>
        <w:rPr>
          <w:rFonts w:cs="Calibri"/>
          <w:b/>
          <w:color w:val="C87A12"/>
          <w:sz w:val="17"/>
        </w:rPr>
        <w:t>02</w:t>
      </w:r>
    </w:p>
    <w:p w14:paraId="2A37ACA1" w14:textId="77777777" w:rsidR="00CF223A" w:rsidRDefault="00000000">
      <w:pPr>
        <w:spacing w:before="20" w:after="40" w:line="259" w:lineRule="auto"/>
      </w:pPr>
      <w:r>
        <w:rPr>
          <w:rFonts w:cs="Calibri"/>
          <w:b/>
          <w:color w:val="1F3A5F"/>
          <w:sz w:val="30"/>
        </w:rPr>
        <w:t>AI tool approval workflow</w:t>
      </w:r>
    </w:p>
    <w:p w14:paraId="34E66CBD" w14:textId="77777777" w:rsidR="00CF223A" w:rsidRDefault="00000000">
      <w:pPr>
        <w:spacing w:after="100" w:line="264" w:lineRule="auto"/>
      </w:pPr>
      <w:r>
        <w:rPr>
          <w:rFonts w:cs="Calibri"/>
          <w:i/>
          <w:color w:val="6B7785"/>
          <w:sz w:val="20"/>
        </w:rPr>
        <w:lastRenderedPageBreak/>
        <w:t>How a tool becomes approved. Low-risk tools that touch only public data can fast-track to a light DesignOps check.</w:t>
      </w:r>
    </w:p>
    <w:tbl>
      <w:tblPr>
        <w:tblW w:w="9936" w:type="dxa"/>
        <w:tblBorders>
          <w:top w:val="single" w:sz="4" w:space="0" w:color="C3CDD8"/>
          <w:left w:val="single" w:sz="4" w:space="0" w:color="C3CDD8"/>
          <w:bottom w:val="single" w:sz="4" w:space="0" w:color="C3CDD8"/>
          <w:right w:val="single" w:sz="4" w:space="0" w:color="C3CDD8"/>
          <w:insideH w:val="single" w:sz="4" w:space="0" w:color="C3CDD8"/>
          <w:insideV w:val="single" w:sz="4" w:space="0" w:color="C3CDD8"/>
        </w:tblBorders>
        <w:tblLayout w:type="fixed"/>
        <w:tblLook w:val="04A0" w:firstRow="1" w:lastRow="0" w:firstColumn="1" w:lastColumn="0" w:noHBand="0" w:noVBand="1"/>
      </w:tblPr>
      <w:tblGrid>
        <w:gridCol w:w="2350"/>
        <w:gridCol w:w="2100"/>
        <w:gridCol w:w="3736"/>
        <w:gridCol w:w="1750"/>
      </w:tblGrid>
      <w:tr w:rsidR="00CF223A" w14:paraId="2393BCBF" w14:textId="77777777">
        <w:trPr>
          <w:tblHeader/>
        </w:trPr>
        <w:tc>
          <w:tcPr>
            <w:tcW w:w="2350" w:type="dxa"/>
            <w:shd w:val="clear" w:color="auto" w:fill="EDF1F5"/>
            <w:tcMar>
              <w:top w:w="60" w:type="dxa"/>
              <w:left w:w="110" w:type="dxa"/>
              <w:bottom w:w="60" w:type="dxa"/>
              <w:right w:w="90" w:type="dxa"/>
            </w:tcMar>
          </w:tcPr>
          <w:p w14:paraId="06E656BF" w14:textId="77777777" w:rsidR="00CF223A" w:rsidRDefault="00000000">
            <w:pPr>
              <w:spacing w:after="0"/>
            </w:pPr>
            <w:r>
              <w:rPr>
                <w:rFonts w:cs="Calibri"/>
                <w:b/>
                <w:color w:val="1F3A5F"/>
                <w:sz w:val="17"/>
              </w:rPr>
              <w:t>Stage</w:t>
            </w:r>
          </w:p>
        </w:tc>
        <w:tc>
          <w:tcPr>
            <w:tcW w:w="2100" w:type="dxa"/>
            <w:shd w:val="clear" w:color="auto" w:fill="EDF1F5"/>
            <w:tcMar>
              <w:top w:w="60" w:type="dxa"/>
              <w:left w:w="110" w:type="dxa"/>
              <w:bottom w:w="60" w:type="dxa"/>
              <w:right w:w="90" w:type="dxa"/>
            </w:tcMar>
          </w:tcPr>
          <w:p w14:paraId="4D9A86D2" w14:textId="77777777" w:rsidR="00CF223A" w:rsidRDefault="00000000">
            <w:pPr>
              <w:spacing w:after="0"/>
            </w:pPr>
            <w:r>
              <w:rPr>
                <w:rFonts w:cs="Calibri"/>
                <w:b/>
                <w:color w:val="1F3A5F"/>
                <w:sz w:val="17"/>
              </w:rPr>
              <w:t>Owner</w:t>
            </w:r>
          </w:p>
        </w:tc>
        <w:tc>
          <w:tcPr>
            <w:tcW w:w="3736" w:type="dxa"/>
            <w:shd w:val="clear" w:color="auto" w:fill="EDF1F5"/>
            <w:tcMar>
              <w:top w:w="60" w:type="dxa"/>
              <w:left w:w="110" w:type="dxa"/>
              <w:bottom w:w="60" w:type="dxa"/>
              <w:right w:w="90" w:type="dxa"/>
            </w:tcMar>
          </w:tcPr>
          <w:p w14:paraId="3C33114A" w14:textId="77777777" w:rsidR="00CF223A" w:rsidRDefault="00000000">
            <w:pPr>
              <w:spacing w:after="0"/>
            </w:pPr>
            <w:r>
              <w:rPr>
                <w:rFonts w:cs="Calibri"/>
                <w:b/>
                <w:color w:val="1F3A5F"/>
                <w:sz w:val="17"/>
              </w:rPr>
              <w:t>What they check</w:t>
            </w:r>
          </w:p>
        </w:tc>
        <w:tc>
          <w:tcPr>
            <w:tcW w:w="1750" w:type="dxa"/>
            <w:shd w:val="clear" w:color="auto" w:fill="EDF1F5"/>
            <w:tcMar>
              <w:top w:w="60" w:type="dxa"/>
              <w:left w:w="110" w:type="dxa"/>
              <w:bottom w:w="60" w:type="dxa"/>
              <w:right w:w="90" w:type="dxa"/>
            </w:tcMar>
          </w:tcPr>
          <w:p w14:paraId="0E2B060C" w14:textId="77777777" w:rsidR="00CF223A" w:rsidRDefault="00000000">
            <w:pPr>
              <w:spacing w:after="0"/>
            </w:pPr>
            <w:r>
              <w:rPr>
                <w:rFonts w:cs="Calibri"/>
                <w:b/>
                <w:color w:val="1F3A5F"/>
                <w:sz w:val="17"/>
              </w:rPr>
              <w:t>Output</w:t>
            </w:r>
          </w:p>
        </w:tc>
      </w:tr>
      <w:tr w:rsidR="00CF223A" w14:paraId="05AF0E82" w14:textId="77777777">
        <w:tc>
          <w:tcPr>
            <w:tcW w:w="235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5BCC2AD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1. Request</w:t>
            </w:r>
          </w:p>
        </w:tc>
        <w:tc>
          <w:tcPr>
            <w:tcW w:w="210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5855823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Requester</w:t>
            </w:r>
          </w:p>
        </w:tc>
        <w:tc>
          <w:tcPr>
            <w:tcW w:w="3736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7932921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Use case, data involved, why current tools do not fit.</w:t>
            </w:r>
          </w:p>
        </w:tc>
        <w:tc>
          <w:tcPr>
            <w:tcW w:w="175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39DBED6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color w:val="6B7785"/>
                <w:sz w:val="19"/>
              </w:rPr>
              <w:t>Short request</w:t>
            </w:r>
          </w:p>
        </w:tc>
      </w:tr>
      <w:tr w:rsidR="00CF223A" w14:paraId="52D2C133" w14:textId="77777777">
        <w:tc>
          <w:tcPr>
            <w:tcW w:w="235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7CC40F5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2. Triage</w:t>
            </w:r>
          </w:p>
        </w:tc>
        <w:tc>
          <w:tcPr>
            <w:tcW w:w="210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1E4C587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DesignOps</w:t>
            </w:r>
          </w:p>
        </w:tc>
        <w:tc>
          <w:tcPr>
            <w:tcW w:w="3736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07AB3AC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Fit, duplication, and which risk tier it falls in.</w:t>
            </w:r>
          </w:p>
        </w:tc>
        <w:tc>
          <w:tcPr>
            <w:tcW w:w="175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4B88FB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color w:val="6B7785"/>
                <w:sz w:val="19"/>
              </w:rPr>
              <w:t>Route or fast-track</w:t>
            </w:r>
          </w:p>
        </w:tc>
      </w:tr>
      <w:tr w:rsidR="00CF223A" w14:paraId="61BB3AAF" w14:textId="77777777">
        <w:tc>
          <w:tcPr>
            <w:tcW w:w="235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A4AAE52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3. Security review</w:t>
            </w:r>
          </w:p>
        </w:tc>
        <w:tc>
          <w:tcPr>
            <w:tcW w:w="210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0E761A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Security / IT</w:t>
            </w:r>
          </w:p>
        </w:tc>
        <w:tc>
          <w:tcPr>
            <w:tcW w:w="3736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BD59618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Data handling, retention, encryption, SSO, certifications.</w:t>
            </w:r>
          </w:p>
        </w:tc>
        <w:tc>
          <w:tcPr>
            <w:tcW w:w="175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EBD79B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color w:val="6B7785"/>
                <w:sz w:val="19"/>
              </w:rPr>
              <w:t>Security sign-off</w:t>
            </w:r>
          </w:p>
        </w:tc>
      </w:tr>
      <w:tr w:rsidR="00CF223A" w14:paraId="0D9EC2C8" w14:textId="77777777">
        <w:tc>
          <w:tcPr>
            <w:tcW w:w="235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6C7428F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4. Legal review</w:t>
            </w:r>
          </w:p>
        </w:tc>
        <w:tc>
          <w:tcPr>
            <w:tcW w:w="210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55152E0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Legal</w:t>
            </w:r>
          </w:p>
        </w:tc>
        <w:tc>
          <w:tcPr>
            <w:tcW w:w="3736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BE51692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IP and usage terms, DPA, privacy compliance.</w:t>
            </w:r>
          </w:p>
        </w:tc>
        <w:tc>
          <w:tcPr>
            <w:tcW w:w="175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E9FA58C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color w:val="6B7785"/>
                <w:sz w:val="19"/>
              </w:rPr>
              <w:t>Legal sign-off</w:t>
            </w:r>
          </w:p>
        </w:tc>
      </w:tr>
      <w:tr w:rsidR="00CF223A" w14:paraId="5DA11E50" w14:textId="77777777">
        <w:tc>
          <w:tcPr>
            <w:tcW w:w="235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A31ABF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5. Procurement</w:t>
            </w:r>
          </w:p>
        </w:tc>
        <w:tc>
          <w:tcPr>
            <w:tcW w:w="210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245CBAE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Procurement</w:t>
            </w:r>
          </w:p>
        </w:tc>
        <w:tc>
          <w:tcPr>
            <w:tcW w:w="3736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AA3B82F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Contract, licensing, and total cost at scale.</w:t>
            </w:r>
          </w:p>
        </w:tc>
        <w:tc>
          <w:tcPr>
            <w:tcW w:w="175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5DDEB84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color w:val="6B7785"/>
                <w:sz w:val="19"/>
              </w:rPr>
              <w:t>Signed contract</w:t>
            </w:r>
          </w:p>
        </w:tc>
      </w:tr>
      <w:tr w:rsidR="00CF223A" w14:paraId="50FF7551" w14:textId="77777777">
        <w:tc>
          <w:tcPr>
            <w:tcW w:w="235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914CA8B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6. Approve &amp; publish</w:t>
            </w:r>
          </w:p>
        </w:tc>
        <w:tc>
          <w:tcPr>
            <w:tcW w:w="210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DAAE40D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DesignOps</w:t>
            </w:r>
          </w:p>
        </w:tc>
        <w:tc>
          <w:tcPr>
            <w:tcW w:w="3736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FFBB159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Add to the approved-AI directory with its data-class limits.</w:t>
            </w:r>
          </w:p>
        </w:tc>
        <w:tc>
          <w:tcPr>
            <w:tcW w:w="175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5CF6918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color w:val="6B7785"/>
                <w:sz w:val="19"/>
              </w:rPr>
              <w:t>Tool live, in the list</w:t>
            </w:r>
          </w:p>
        </w:tc>
      </w:tr>
      <w:tr w:rsidR="00CF223A" w14:paraId="20ECD826" w14:textId="77777777">
        <w:tc>
          <w:tcPr>
            <w:tcW w:w="235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34475B8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7. Periodic review</w:t>
            </w:r>
          </w:p>
        </w:tc>
        <w:tc>
          <w:tcPr>
            <w:tcW w:w="210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465171F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DesignOps + Security</w:t>
            </w:r>
          </w:p>
        </w:tc>
        <w:tc>
          <w:tcPr>
            <w:tcW w:w="3736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534BCBA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Re-check terms, usage, and incidents on a set cadence.</w:t>
            </w:r>
          </w:p>
        </w:tc>
        <w:tc>
          <w:tcPr>
            <w:tcW w:w="175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3391BD0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color w:val="6B7785"/>
                <w:sz w:val="19"/>
              </w:rPr>
              <w:t>Keep, adjust, or retire</w:t>
            </w:r>
          </w:p>
        </w:tc>
      </w:tr>
    </w:tbl>
    <w:p w14:paraId="392CFEA0" w14:textId="77777777" w:rsidR="00CF223A" w:rsidRDefault="00000000">
      <w:pPr>
        <w:spacing w:before="260" w:after="20" w:line="259" w:lineRule="auto"/>
      </w:pPr>
      <w:r>
        <w:rPr>
          <w:rFonts w:cs="Calibri"/>
          <w:b/>
          <w:color w:val="C87A12"/>
          <w:sz w:val="17"/>
        </w:rPr>
        <w:t>03</w:t>
      </w:r>
    </w:p>
    <w:p w14:paraId="0E310B48" w14:textId="77777777" w:rsidR="00CF223A" w:rsidRDefault="00000000">
      <w:pPr>
        <w:spacing w:before="20" w:after="40" w:line="259" w:lineRule="auto"/>
      </w:pPr>
      <w:r>
        <w:rPr>
          <w:rFonts w:cs="Calibri"/>
          <w:b/>
          <w:color w:val="1F3A5F"/>
          <w:sz w:val="30"/>
        </w:rPr>
        <w:t>Who owns what</w:t>
      </w:r>
    </w:p>
    <w:p w14:paraId="0A8A83C1" w14:textId="77777777" w:rsidR="00CF223A" w:rsidRDefault="00000000">
      <w:pPr>
        <w:spacing w:after="100" w:line="264" w:lineRule="auto"/>
      </w:pPr>
      <w:r>
        <w:rPr>
          <w:rFonts w:cs="Calibri"/>
          <w:i/>
          <w:color w:val="6B7785"/>
          <w:sz w:val="20"/>
        </w:rPr>
        <w:t>A starting ownership map. R does the work, A owns the outcome, C is consulted, I is informed.</w:t>
      </w:r>
    </w:p>
    <w:tbl>
      <w:tblPr>
        <w:tblW w:w="9936" w:type="dxa"/>
        <w:tblBorders>
          <w:top w:val="single" w:sz="4" w:space="0" w:color="C3CDD8"/>
          <w:left w:val="single" w:sz="4" w:space="0" w:color="C3CDD8"/>
          <w:bottom w:val="single" w:sz="4" w:space="0" w:color="C3CDD8"/>
          <w:right w:val="single" w:sz="4" w:space="0" w:color="C3CDD8"/>
          <w:insideH w:val="single" w:sz="4" w:space="0" w:color="C3CDD8"/>
          <w:insideV w:val="single" w:sz="4" w:space="0" w:color="C3CDD8"/>
        </w:tblBorders>
        <w:tblLayout w:type="fixed"/>
        <w:tblLook w:val="04A0" w:firstRow="1" w:lastRow="0" w:firstColumn="1" w:lastColumn="0" w:noHBand="0" w:noVBand="1"/>
      </w:tblPr>
      <w:tblGrid>
        <w:gridCol w:w="3136"/>
        <w:gridCol w:w="1360"/>
        <w:gridCol w:w="1360"/>
        <w:gridCol w:w="1360"/>
        <w:gridCol w:w="1360"/>
        <w:gridCol w:w="1360"/>
      </w:tblGrid>
      <w:tr w:rsidR="00CF223A" w14:paraId="14DFE098" w14:textId="77777777">
        <w:trPr>
          <w:tblHeader/>
        </w:trPr>
        <w:tc>
          <w:tcPr>
            <w:tcW w:w="3136" w:type="dxa"/>
            <w:shd w:val="clear" w:color="auto" w:fill="EDF1F5"/>
            <w:tcMar>
              <w:top w:w="60" w:type="dxa"/>
              <w:left w:w="110" w:type="dxa"/>
              <w:bottom w:w="60" w:type="dxa"/>
              <w:right w:w="90" w:type="dxa"/>
            </w:tcMar>
          </w:tcPr>
          <w:p w14:paraId="7EED383C" w14:textId="77777777" w:rsidR="00CF223A" w:rsidRDefault="00000000">
            <w:pPr>
              <w:spacing w:after="0"/>
            </w:pPr>
            <w:r>
              <w:rPr>
                <w:rFonts w:cs="Calibri"/>
                <w:b/>
                <w:color w:val="1F3A5F"/>
                <w:sz w:val="17"/>
              </w:rPr>
              <w:t>Activity</w:t>
            </w:r>
          </w:p>
        </w:tc>
        <w:tc>
          <w:tcPr>
            <w:tcW w:w="1360" w:type="dxa"/>
            <w:shd w:val="clear" w:color="auto" w:fill="EDF1F5"/>
            <w:tcMar>
              <w:top w:w="60" w:type="dxa"/>
              <w:left w:w="110" w:type="dxa"/>
              <w:bottom w:w="60" w:type="dxa"/>
              <w:right w:w="90" w:type="dxa"/>
            </w:tcMar>
          </w:tcPr>
          <w:p w14:paraId="6D934DAE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1F3A5F"/>
                <w:sz w:val="17"/>
              </w:rPr>
              <w:t>Designer</w:t>
            </w:r>
          </w:p>
        </w:tc>
        <w:tc>
          <w:tcPr>
            <w:tcW w:w="1360" w:type="dxa"/>
            <w:shd w:val="clear" w:color="auto" w:fill="EDF1F5"/>
            <w:tcMar>
              <w:top w:w="60" w:type="dxa"/>
              <w:left w:w="110" w:type="dxa"/>
              <w:bottom w:w="60" w:type="dxa"/>
              <w:right w:w="90" w:type="dxa"/>
            </w:tcMar>
          </w:tcPr>
          <w:p w14:paraId="4717FE07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1F3A5F"/>
                <w:sz w:val="17"/>
              </w:rPr>
              <w:t>Researcher</w:t>
            </w:r>
          </w:p>
        </w:tc>
        <w:tc>
          <w:tcPr>
            <w:tcW w:w="1360" w:type="dxa"/>
            <w:shd w:val="clear" w:color="auto" w:fill="EDF1F5"/>
            <w:tcMar>
              <w:top w:w="60" w:type="dxa"/>
              <w:left w:w="110" w:type="dxa"/>
              <w:bottom w:w="60" w:type="dxa"/>
              <w:right w:w="90" w:type="dxa"/>
            </w:tcMar>
          </w:tcPr>
          <w:p w14:paraId="7E792915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1F3A5F"/>
                <w:sz w:val="17"/>
              </w:rPr>
              <w:t>DesignOps</w:t>
            </w:r>
          </w:p>
        </w:tc>
        <w:tc>
          <w:tcPr>
            <w:tcW w:w="1360" w:type="dxa"/>
            <w:shd w:val="clear" w:color="auto" w:fill="EDF1F5"/>
            <w:tcMar>
              <w:top w:w="60" w:type="dxa"/>
              <w:left w:w="110" w:type="dxa"/>
              <w:bottom w:w="60" w:type="dxa"/>
              <w:right w:w="90" w:type="dxa"/>
            </w:tcMar>
          </w:tcPr>
          <w:p w14:paraId="092A02F8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1F3A5F"/>
                <w:sz w:val="17"/>
              </w:rPr>
              <w:t>Security</w:t>
            </w:r>
          </w:p>
        </w:tc>
        <w:tc>
          <w:tcPr>
            <w:tcW w:w="1360" w:type="dxa"/>
            <w:shd w:val="clear" w:color="auto" w:fill="EDF1F5"/>
            <w:tcMar>
              <w:top w:w="60" w:type="dxa"/>
              <w:left w:w="110" w:type="dxa"/>
              <w:bottom w:w="60" w:type="dxa"/>
              <w:right w:w="90" w:type="dxa"/>
            </w:tcMar>
          </w:tcPr>
          <w:p w14:paraId="2BC08CA2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1F3A5F"/>
                <w:sz w:val="17"/>
              </w:rPr>
              <w:t>Legal</w:t>
            </w:r>
          </w:p>
        </w:tc>
      </w:tr>
      <w:tr w:rsidR="00CF223A" w14:paraId="6CD438C2" w14:textId="77777777">
        <w:tc>
          <w:tcPr>
            <w:tcW w:w="3136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B7F478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Requesting a tool</w:t>
            </w:r>
          </w:p>
        </w:tc>
        <w:tc>
          <w:tcPr>
            <w:tcW w:w="136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2A83DA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1E7A46"/>
                <w:sz w:val="20"/>
              </w:rPr>
              <w:t>R</w:t>
            </w:r>
          </w:p>
        </w:tc>
        <w:tc>
          <w:tcPr>
            <w:tcW w:w="136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10F704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B4832E"/>
                <w:sz w:val="20"/>
              </w:rPr>
              <w:t>C</w:t>
            </w:r>
          </w:p>
        </w:tc>
        <w:tc>
          <w:tcPr>
            <w:tcW w:w="136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E156D5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1F3A5F"/>
                <w:sz w:val="20"/>
              </w:rPr>
              <w:t>A</w:t>
            </w:r>
          </w:p>
        </w:tc>
        <w:tc>
          <w:tcPr>
            <w:tcW w:w="136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CCDEF4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6B7785"/>
                <w:sz w:val="20"/>
              </w:rPr>
              <w:t>I</w:t>
            </w:r>
          </w:p>
        </w:tc>
        <w:tc>
          <w:tcPr>
            <w:tcW w:w="136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920B9C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6B7785"/>
                <w:sz w:val="20"/>
              </w:rPr>
              <w:t>I</w:t>
            </w:r>
          </w:p>
        </w:tc>
      </w:tr>
      <w:tr w:rsidR="00CF223A" w14:paraId="12FB9100" w14:textId="77777777">
        <w:tc>
          <w:tcPr>
            <w:tcW w:w="313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92698F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Approving a tool</w:t>
            </w:r>
          </w:p>
        </w:tc>
        <w:tc>
          <w:tcPr>
            <w:tcW w:w="13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E848D3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6B7785"/>
                <w:sz w:val="20"/>
              </w:rPr>
              <w:t>I</w:t>
            </w:r>
          </w:p>
        </w:tc>
        <w:tc>
          <w:tcPr>
            <w:tcW w:w="13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3E9122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6B7785"/>
                <w:sz w:val="20"/>
              </w:rPr>
              <w:t>I</w:t>
            </w:r>
          </w:p>
        </w:tc>
        <w:tc>
          <w:tcPr>
            <w:tcW w:w="13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528DF5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1F3A5F"/>
                <w:sz w:val="20"/>
              </w:rPr>
              <w:t>A</w:t>
            </w:r>
          </w:p>
        </w:tc>
        <w:tc>
          <w:tcPr>
            <w:tcW w:w="13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1CCA37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B4832E"/>
                <w:sz w:val="20"/>
              </w:rPr>
              <w:t>C</w:t>
            </w:r>
          </w:p>
        </w:tc>
        <w:tc>
          <w:tcPr>
            <w:tcW w:w="13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86947F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B4832E"/>
                <w:sz w:val="20"/>
              </w:rPr>
              <w:t>C</w:t>
            </w:r>
          </w:p>
        </w:tc>
      </w:tr>
      <w:tr w:rsidR="00CF223A" w14:paraId="7EA7CE71" w14:textId="77777777">
        <w:tc>
          <w:tcPr>
            <w:tcW w:w="3136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F65DB4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Handling sensitive data</w:t>
            </w:r>
          </w:p>
        </w:tc>
        <w:tc>
          <w:tcPr>
            <w:tcW w:w="136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759EC8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1E7A46"/>
                <w:sz w:val="20"/>
              </w:rPr>
              <w:t>R</w:t>
            </w:r>
          </w:p>
        </w:tc>
        <w:tc>
          <w:tcPr>
            <w:tcW w:w="136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5910B6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1E7A46"/>
                <w:sz w:val="20"/>
              </w:rPr>
              <w:t>R</w:t>
            </w:r>
          </w:p>
        </w:tc>
        <w:tc>
          <w:tcPr>
            <w:tcW w:w="136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E2D67B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B4832E"/>
                <w:sz w:val="20"/>
              </w:rPr>
              <w:t>C</w:t>
            </w:r>
          </w:p>
        </w:tc>
        <w:tc>
          <w:tcPr>
            <w:tcW w:w="136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4B07A5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1F3A5F"/>
                <w:sz w:val="20"/>
              </w:rPr>
              <w:t>A</w:t>
            </w:r>
          </w:p>
        </w:tc>
        <w:tc>
          <w:tcPr>
            <w:tcW w:w="136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713269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B4832E"/>
                <w:sz w:val="20"/>
              </w:rPr>
              <w:t>C</w:t>
            </w:r>
          </w:p>
        </w:tc>
      </w:tr>
      <w:tr w:rsidR="00CF223A" w14:paraId="3B295225" w14:textId="77777777">
        <w:tc>
          <w:tcPr>
            <w:tcW w:w="313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A7BF43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Research synthesis sign-off</w:t>
            </w:r>
          </w:p>
        </w:tc>
        <w:tc>
          <w:tcPr>
            <w:tcW w:w="13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612AB4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B4832E"/>
                <w:sz w:val="20"/>
              </w:rPr>
              <w:t>C</w:t>
            </w:r>
          </w:p>
        </w:tc>
        <w:tc>
          <w:tcPr>
            <w:tcW w:w="13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B03286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1F3A5F"/>
                <w:sz w:val="20"/>
              </w:rPr>
              <w:t>A</w:t>
            </w:r>
          </w:p>
        </w:tc>
        <w:tc>
          <w:tcPr>
            <w:tcW w:w="13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8F378B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6B7785"/>
                <w:sz w:val="20"/>
              </w:rPr>
              <w:t>I</w:t>
            </w:r>
          </w:p>
        </w:tc>
        <w:tc>
          <w:tcPr>
            <w:tcW w:w="13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528272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6B7785"/>
                <w:sz w:val="20"/>
              </w:rPr>
              <w:t>–</w:t>
            </w:r>
          </w:p>
        </w:tc>
        <w:tc>
          <w:tcPr>
            <w:tcW w:w="13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633D09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6B7785"/>
                <w:sz w:val="20"/>
              </w:rPr>
              <w:t>–</w:t>
            </w:r>
          </w:p>
        </w:tc>
      </w:tr>
      <w:tr w:rsidR="00CF223A" w14:paraId="029C88EF" w14:textId="77777777">
        <w:tc>
          <w:tcPr>
            <w:tcW w:w="3136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41210B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User-facing AI output</w:t>
            </w:r>
          </w:p>
        </w:tc>
        <w:tc>
          <w:tcPr>
            <w:tcW w:w="136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9D8766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1E7A46"/>
                <w:sz w:val="20"/>
              </w:rPr>
              <w:t>R</w:t>
            </w:r>
          </w:p>
        </w:tc>
        <w:tc>
          <w:tcPr>
            <w:tcW w:w="136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603D2E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B4832E"/>
                <w:sz w:val="20"/>
              </w:rPr>
              <w:t>C</w:t>
            </w:r>
          </w:p>
        </w:tc>
        <w:tc>
          <w:tcPr>
            <w:tcW w:w="136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17E17B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1F3A5F"/>
                <w:sz w:val="20"/>
              </w:rPr>
              <w:t>A</w:t>
            </w:r>
          </w:p>
        </w:tc>
        <w:tc>
          <w:tcPr>
            <w:tcW w:w="136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32085F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B4832E"/>
                <w:sz w:val="20"/>
              </w:rPr>
              <w:t>C</w:t>
            </w:r>
          </w:p>
        </w:tc>
        <w:tc>
          <w:tcPr>
            <w:tcW w:w="136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77F270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B4832E"/>
                <w:sz w:val="20"/>
              </w:rPr>
              <w:t>C</w:t>
            </w:r>
          </w:p>
        </w:tc>
      </w:tr>
      <w:tr w:rsidR="00CF223A" w14:paraId="229745D7" w14:textId="77777777">
        <w:tc>
          <w:tcPr>
            <w:tcW w:w="3136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3DEEEC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IP / rights approval</w:t>
            </w:r>
          </w:p>
        </w:tc>
        <w:tc>
          <w:tcPr>
            <w:tcW w:w="13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03B31F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B4832E"/>
                <w:sz w:val="20"/>
              </w:rPr>
              <w:t>C</w:t>
            </w:r>
          </w:p>
        </w:tc>
        <w:tc>
          <w:tcPr>
            <w:tcW w:w="13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FB7F82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6B7785"/>
                <w:sz w:val="20"/>
              </w:rPr>
              <w:t>–</w:t>
            </w:r>
          </w:p>
        </w:tc>
        <w:tc>
          <w:tcPr>
            <w:tcW w:w="13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577081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B4832E"/>
                <w:sz w:val="20"/>
              </w:rPr>
              <w:t>C</w:t>
            </w:r>
          </w:p>
        </w:tc>
        <w:tc>
          <w:tcPr>
            <w:tcW w:w="13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83A2E9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6B7785"/>
                <w:sz w:val="20"/>
              </w:rPr>
              <w:t>–</w:t>
            </w:r>
          </w:p>
        </w:tc>
        <w:tc>
          <w:tcPr>
            <w:tcW w:w="1360" w:type="dxa"/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0D9845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1F3A5F"/>
                <w:sz w:val="20"/>
              </w:rPr>
              <w:t>A</w:t>
            </w:r>
          </w:p>
        </w:tc>
      </w:tr>
      <w:tr w:rsidR="00CF223A" w14:paraId="4D134080" w14:textId="77777777">
        <w:tc>
          <w:tcPr>
            <w:tcW w:w="3136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5F1A7B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Incident response</w:t>
            </w:r>
          </w:p>
        </w:tc>
        <w:tc>
          <w:tcPr>
            <w:tcW w:w="136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879E32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1E7A46"/>
                <w:sz w:val="20"/>
              </w:rPr>
              <w:t>R</w:t>
            </w:r>
          </w:p>
        </w:tc>
        <w:tc>
          <w:tcPr>
            <w:tcW w:w="136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CCE93D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6B7785"/>
                <w:sz w:val="20"/>
              </w:rPr>
              <w:t>I</w:t>
            </w:r>
          </w:p>
        </w:tc>
        <w:tc>
          <w:tcPr>
            <w:tcW w:w="136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1C9369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B4832E"/>
                <w:sz w:val="20"/>
              </w:rPr>
              <w:t>C</w:t>
            </w:r>
          </w:p>
        </w:tc>
        <w:tc>
          <w:tcPr>
            <w:tcW w:w="136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502392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1F3A5F"/>
                <w:sz w:val="20"/>
              </w:rPr>
              <w:t>A</w:t>
            </w:r>
          </w:p>
        </w:tc>
        <w:tc>
          <w:tcPr>
            <w:tcW w:w="1360" w:type="dxa"/>
            <w:shd w:val="clear" w:color="auto" w:fill="F7F9FB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717E9D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B4832E"/>
                <w:sz w:val="20"/>
              </w:rPr>
              <w:t>C</w:t>
            </w:r>
          </w:p>
        </w:tc>
      </w:tr>
    </w:tbl>
    <w:p w14:paraId="769E44E4" w14:textId="77777777" w:rsidR="00CF223A" w:rsidRDefault="00000000">
      <w:pPr>
        <w:spacing w:before="260" w:after="20" w:line="259" w:lineRule="auto"/>
      </w:pPr>
      <w:r>
        <w:rPr>
          <w:rFonts w:cs="Calibri"/>
          <w:b/>
          <w:color w:val="C87A12"/>
          <w:sz w:val="17"/>
        </w:rPr>
        <w:t>04</w:t>
      </w:r>
    </w:p>
    <w:p w14:paraId="30C5C93A" w14:textId="77777777" w:rsidR="00CF223A" w:rsidRDefault="00000000">
      <w:pPr>
        <w:spacing w:before="20" w:after="40" w:line="259" w:lineRule="auto"/>
      </w:pPr>
      <w:r>
        <w:rPr>
          <w:rFonts w:cs="Calibri"/>
          <w:b/>
          <w:color w:val="1F3A5F"/>
          <w:sz w:val="30"/>
        </w:rPr>
        <w:t>AI Design Decision Record</w:t>
      </w:r>
    </w:p>
    <w:p w14:paraId="2EC58D37" w14:textId="77777777" w:rsidR="00CF223A" w:rsidRDefault="00000000">
      <w:pPr>
        <w:spacing w:after="100" w:line="264" w:lineRule="auto"/>
      </w:pPr>
      <w:r>
        <w:rPr>
          <w:rFonts w:cs="Calibri"/>
          <w:i/>
          <w:color w:val="6B7785"/>
          <w:sz w:val="20"/>
        </w:rPr>
        <w:t>Log this for client work, research that informs decisions, user-facing AI, or anything with IP or regulatory exposure. One record per significant AI-assisted output.</w:t>
      </w:r>
    </w:p>
    <w:tbl>
      <w:tblPr>
        <w:tblW w:w="9936" w:type="dxa"/>
        <w:tblBorders>
          <w:top w:val="single" w:sz="4" w:space="0" w:color="C3CDD8"/>
          <w:left w:val="single" w:sz="4" w:space="0" w:color="C3CDD8"/>
          <w:bottom w:val="single" w:sz="4" w:space="0" w:color="C3CDD8"/>
          <w:right w:val="single" w:sz="4" w:space="0" w:color="C3CDD8"/>
          <w:insideH w:val="single" w:sz="4" w:space="0" w:color="C3CDD8"/>
          <w:insideV w:val="single" w:sz="4" w:space="0" w:color="C3CDD8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7236"/>
      </w:tblGrid>
      <w:tr w:rsidR="00CF223A" w14:paraId="2AC6CBEE" w14:textId="77777777">
        <w:trPr>
          <w:tblHeader/>
        </w:trPr>
        <w:tc>
          <w:tcPr>
            <w:tcW w:w="2700" w:type="dxa"/>
            <w:shd w:val="clear" w:color="auto" w:fill="EDF1F5"/>
            <w:tcMar>
              <w:top w:w="60" w:type="dxa"/>
              <w:left w:w="110" w:type="dxa"/>
              <w:bottom w:w="60" w:type="dxa"/>
              <w:right w:w="90" w:type="dxa"/>
            </w:tcMar>
          </w:tcPr>
          <w:p w14:paraId="6BC733F8" w14:textId="77777777" w:rsidR="00CF223A" w:rsidRDefault="00000000">
            <w:pPr>
              <w:spacing w:after="0"/>
            </w:pPr>
            <w:r>
              <w:rPr>
                <w:rFonts w:cs="Calibri"/>
                <w:b/>
                <w:color w:val="1F3A5F"/>
                <w:sz w:val="17"/>
              </w:rPr>
              <w:t>Field</w:t>
            </w:r>
          </w:p>
        </w:tc>
        <w:tc>
          <w:tcPr>
            <w:tcW w:w="7236" w:type="dxa"/>
            <w:shd w:val="clear" w:color="auto" w:fill="EDF1F5"/>
            <w:tcMar>
              <w:top w:w="60" w:type="dxa"/>
              <w:left w:w="110" w:type="dxa"/>
              <w:bottom w:w="60" w:type="dxa"/>
              <w:right w:w="90" w:type="dxa"/>
            </w:tcMar>
          </w:tcPr>
          <w:p w14:paraId="5421ABC0" w14:textId="77777777" w:rsidR="00CF223A" w:rsidRDefault="00000000">
            <w:pPr>
              <w:spacing w:after="0"/>
            </w:pPr>
            <w:r>
              <w:rPr>
                <w:rFonts w:cs="Calibri"/>
                <w:b/>
                <w:color w:val="1F3A5F"/>
                <w:sz w:val="17"/>
              </w:rPr>
              <w:t>Entry</w:t>
            </w:r>
          </w:p>
        </w:tc>
      </w:tr>
      <w:tr w:rsidR="00CF223A" w14:paraId="6679B0A4" w14:textId="77777777">
        <w:trPr>
          <w:trHeight w:val="420"/>
        </w:trPr>
        <w:tc>
          <w:tcPr>
            <w:tcW w:w="2700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8A2182" w14:textId="77777777" w:rsidR="00CF223A" w:rsidRDefault="00000000">
            <w:pPr>
              <w:spacing w:after="0"/>
            </w:pPr>
            <w:r>
              <w:rPr>
                <w:rFonts w:cs="Calibri"/>
                <w:b/>
                <w:color w:val="1F3A5F"/>
                <w:sz w:val="19"/>
              </w:rPr>
              <w:t>Tool</w:t>
            </w:r>
          </w:p>
        </w:tc>
        <w:tc>
          <w:tcPr>
            <w:tcW w:w="723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344CF8" w14:textId="77777777" w:rsidR="00CF223A" w:rsidRDefault="00000000">
            <w:pPr>
              <w:spacing w:after="0"/>
            </w:pPr>
            <w:r>
              <w:rPr>
                <w:rFonts w:cs="Calibri"/>
                <w:sz w:val="19"/>
              </w:rPr>
              <w:t xml:space="preserve"> </w:t>
            </w:r>
          </w:p>
        </w:tc>
      </w:tr>
      <w:tr w:rsidR="00CF223A" w14:paraId="40F6F07C" w14:textId="77777777">
        <w:trPr>
          <w:trHeight w:val="420"/>
        </w:trPr>
        <w:tc>
          <w:tcPr>
            <w:tcW w:w="2700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7A68A8" w14:textId="77777777" w:rsidR="00CF223A" w:rsidRDefault="00000000">
            <w:pPr>
              <w:spacing w:after="0"/>
            </w:pPr>
            <w:r>
              <w:rPr>
                <w:rFonts w:cs="Calibri"/>
                <w:b/>
                <w:color w:val="1F3A5F"/>
                <w:sz w:val="19"/>
              </w:rPr>
              <w:t>Model / version</w:t>
            </w:r>
          </w:p>
        </w:tc>
        <w:tc>
          <w:tcPr>
            <w:tcW w:w="723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0DD025" w14:textId="77777777" w:rsidR="00CF223A" w:rsidRDefault="00000000">
            <w:pPr>
              <w:spacing w:after="0"/>
            </w:pPr>
            <w:r>
              <w:rPr>
                <w:rFonts w:cs="Calibri"/>
                <w:sz w:val="19"/>
              </w:rPr>
              <w:t xml:space="preserve"> </w:t>
            </w:r>
          </w:p>
        </w:tc>
      </w:tr>
      <w:tr w:rsidR="00CF223A" w14:paraId="41E43908" w14:textId="77777777">
        <w:trPr>
          <w:trHeight w:val="420"/>
        </w:trPr>
        <w:tc>
          <w:tcPr>
            <w:tcW w:w="2700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74A51B" w14:textId="77777777" w:rsidR="00CF223A" w:rsidRDefault="00000000">
            <w:pPr>
              <w:spacing w:after="0"/>
            </w:pPr>
            <w:r>
              <w:rPr>
                <w:rFonts w:cs="Calibri"/>
                <w:b/>
                <w:color w:val="1F3A5F"/>
                <w:sz w:val="19"/>
              </w:rPr>
              <w:t>Date</w:t>
            </w:r>
          </w:p>
        </w:tc>
        <w:tc>
          <w:tcPr>
            <w:tcW w:w="723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EED168" w14:textId="77777777" w:rsidR="00CF223A" w:rsidRDefault="00000000">
            <w:pPr>
              <w:spacing w:after="0"/>
            </w:pPr>
            <w:r>
              <w:rPr>
                <w:rFonts w:cs="Calibri"/>
                <w:sz w:val="19"/>
              </w:rPr>
              <w:t xml:space="preserve"> </w:t>
            </w:r>
          </w:p>
        </w:tc>
      </w:tr>
      <w:tr w:rsidR="00CF223A" w14:paraId="37E5EAC4" w14:textId="77777777">
        <w:trPr>
          <w:trHeight w:val="420"/>
        </w:trPr>
        <w:tc>
          <w:tcPr>
            <w:tcW w:w="2700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6CAEDD" w14:textId="77777777" w:rsidR="00CF223A" w:rsidRDefault="00000000">
            <w:pPr>
              <w:spacing w:after="0"/>
            </w:pPr>
            <w:r>
              <w:rPr>
                <w:rFonts w:cs="Calibri"/>
                <w:b/>
                <w:color w:val="1F3A5F"/>
                <w:sz w:val="19"/>
              </w:rPr>
              <w:lastRenderedPageBreak/>
              <w:t>Prompt or context used</w:t>
            </w:r>
          </w:p>
        </w:tc>
        <w:tc>
          <w:tcPr>
            <w:tcW w:w="723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7D45A7" w14:textId="77777777" w:rsidR="00CF223A" w:rsidRDefault="00000000">
            <w:pPr>
              <w:spacing w:after="0"/>
            </w:pPr>
            <w:r>
              <w:rPr>
                <w:rFonts w:cs="Calibri"/>
                <w:sz w:val="19"/>
              </w:rPr>
              <w:t xml:space="preserve"> </w:t>
            </w:r>
          </w:p>
        </w:tc>
      </w:tr>
      <w:tr w:rsidR="00CF223A" w14:paraId="0FAA50E5" w14:textId="77777777">
        <w:trPr>
          <w:trHeight w:val="420"/>
        </w:trPr>
        <w:tc>
          <w:tcPr>
            <w:tcW w:w="2700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6C258B" w14:textId="77777777" w:rsidR="00CF223A" w:rsidRDefault="00000000">
            <w:pPr>
              <w:spacing w:after="0"/>
            </w:pPr>
            <w:r>
              <w:rPr>
                <w:rFonts w:cs="Calibri"/>
                <w:b/>
                <w:color w:val="1F3A5F"/>
                <w:sz w:val="19"/>
              </w:rPr>
              <w:t>Output (summary)</w:t>
            </w:r>
          </w:p>
        </w:tc>
        <w:tc>
          <w:tcPr>
            <w:tcW w:w="723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E8EBC8" w14:textId="77777777" w:rsidR="00CF223A" w:rsidRDefault="00000000">
            <w:pPr>
              <w:spacing w:after="0"/>
            </w:pPr>
            <w:r>
              <w:rPr>
                <w:rFonts w:cs="Calibri"/>
                <w:sz w:val="19"/>
              </w:rPr>
              <w:t xml:space="preserve"> </w:t>
            </w:r>
          </w:p>
        </w:tc>
      </w:tr>
      <w:tr w:rsidR="00CF223A" w14:paraId="40BFB00A" w14:textId="77777777">
        <w:trPr>
          <w:trHeight w:val="420"/>
        </w:trPr>
        <w:tc>
          <w:tcPr>
            <w:tcW w:w="2700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EE10A0" w14:textId="77777777" w:rsidR="00CF223A" w:rsidRDefault="00000000">
            <w:pPr>
              <w:spacing w:after="0"/>
            </w:pPr>
            <w:r>
              <w:rPr>
                <w:rFonts w:cs="Calibri"/>
                <w:b/>
                <w:color w:val="1F3A5F"/>
                <w:sz w:val="19"/>
              </w:rPr>
              <w:t>Human reviewer</w:t>
            </w:r>
          </w:p>
        </w:tc>
        <w:tc>
          <w:tcPr>
            <w:tcW w:w="723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007CC7" w14:textId="77777777" w:rsidR="00CF223A" w:rsidRDefault="00000000">
            <w:pPr>
              <w:spacing w:after="0"/>
            </w:pPr>
            <w:r>
              <w:rPr>
                <w:rFonts w:cs="Calibri"/>
                <w:sz w:val="19"/>
              </w:rPr>
              <w:t xml:space="preserve"> </w:t>
            </w:r>
          </w:p>
        </w:tc>
      </w:tr>
      <w:tr w:rsidR="00CF223A" w14:paraId="599A8E5D" w14:textId="77777777">
        <w:trPr>
          <w:trHeight w:val="420"/>
        </w:trPr>
        <w:tc>
          <w:tcPr>
            <w:tcW w:w="2700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D14FFE" w14:textId="77777777" w:rsidR="00CF223A" w:rsidRDefault="00000000">
            <w:pPr>
              <w:spacing w:after="0"/>
            </w:pPr>
            <w:r>
              <w:rPr>
                <w:rFonts w:cs="Calibri"/>
                <w:b/>
                <w:color w:val="1F3A5F"/>
                <w:sz w:val="19"/>
              </w:rPr>
              <w:t>Final decision</w:t>
            </w:r>
          </w:p>
        </w:tc>
        <w:tc>
          <w:tcPr>
            <w:tcW w:w="723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F68D61" w14:textId="77777777" w:rsidR="00CF223A" w:rsidRDefault="00000000">
            <w:pPr>
              <w:spacing w:after="0"/>
            </w:pPr>
            <w:r>
              <w:rPr>
                <w:rFonts w:cs="Calibri"/>
                <w:sz w:val="19"/>
              </w:rPr>
              <w:t xml:space="preserve"> </w:t>
            </w:r>
          </w:p>
        </w:tc>
      </w:tr>
      <w:tr w:rsidR="00CF223A" w14:paraId="191092E3" w14:textId="77777777">
        <w:trPr>
          <w:trHeight w:val="420"/>
        </w:trPr>
        <w:tc>
          <w:tcPr>
            <w:tcW w:w="2700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54749B" w14:textId="77777777" w:rsidR="00CF223A" w:rsidRDefault="00000000">
            <w:pPr>
              <w:spacing w:after="0"/>
            </w:pPr>
            <w:r>
              <w:rPr>
                <w:rFonts w:cs="Calibri"/>
                <w:b/>
                <w:color w:val="1F3A5F"/>
                <w:sz w:val="19"/>
              </w:rPr>
              <w:t>Notes</w:t>
            </w:r>
          </w:p>
        </w:tc>
        <w:tc>
          <w:tcPr>
            <w:tcW w:w="723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0A2A96" w14:textId="77777777" w:rsidR="00CF223A" w:rsidRDefault="00000000">
            <w:pPr>
              <w:spacing w:after="0"/>
            </w:pPr>
            <w:r>
              <w:rPr>
                <w:rFonts w:cs="Calibri"/>
                <w:sz w:val="19"/>
              </w:rPr>
              <w:t xml:space="preserve"> </w:t>
            </w:r>
          </w:p>
        </w:tc>
      </w:tr>
    </w:tbl>
    <w:p w14:paraId="2BDFD280" w14:textId="77777777" w:rsidR="00CF223A" w:rsidRDefault="00000000">
      <w:pPr>
        <w:spacing w:before="260" w:after="20" w:line="259" w:lineRule="auto"/>
      </w:pPr>
      <w:r>
        <w:rPr>
          <w:rFonts w:cs="Calibri"/>
          <w:b/>
          <w:color w:val="C87A12"/>
          <w:sz w:val="17"/>
        </w:rPr>
        <w:t>05</w:t>
      </w:r>
    </w:p>
    <w:p w14:paraId="449B4FA4" w14:textId="77777777" w:rsidR="00CF223A" w:rsidRDefault="00000000">
      <w:pPr>
        <w:spacing w:before="20" w:after="40" w:line="259" w:lineRule="auto"/>
      </w:pPr>
      <w:r>
        <w:rPr>
          <w:rFonts w:cs="Calibri"/>
          <w:b/>
          <w:color w:val="1F3A5F"/>
          <w:sz w:val="30"/>
        </w:rPr>
        <w:t>Incident response</w:t>
      </w:r>
    </w:p>
    <w:p w14:paraId="154B29F0" w14:textId="77777777" w:rsidR="00CF223A" w:rsidRDefault="00000000">
      <w:pPr>
        <w:spacing w:after="100" w:line="264" w:lineRule="auto"/>
      </w:pPr>
      <w:r>
        <w:rPr>
          <w:rFonts w:cs="Calibri"/>
          <w:i/>
          <w:color w:val="6B7785"/>
          <w:sz w:val="20"/>
        </w:rPr>
        <w:t>If confidential data, PII, or NDA material lands in an AI tool. Name the owner now, before you need them.</w:t>
      </w:r>
    </w:p>
    <w:p w14:paraId="7F948A1D" w14:textId="77777777" w:rsidR="00CF223A" w:rsidRDefault="00000000">
      <w:pPr>
        <w:spacing w:before="20" w:after="20" w:line="259" w:lineRule="auto"/>
      </w:pPr>
      <w:r>
        <w:rPr>
          <w:rFonts w:cs="Calibri"/>
          <w:b/>
          <w:color w:val="1F3A5F"/>
          <w:sz w:val="20"/>
        </w:rPr>
        <w:t xml:space="preserve">1.  Contain.  </w:t>
      </w:r>
      <w:r>
        <w:rPr>
          <w:rFonts w:cs="Calibri"/>
          <w:sz w:val="20"/>
        </w:rPr>
        <w:t>Stop using the tool or session; revoke access if the account is shared.</w:t>
      </w:r>
    </w:p>
    <w:p w14:paraId="00838801" w14:textId="77777777" w:rsidR="00CF223A" w:rsidRDefault="00000000">
      <w:pPr>
        <w:spacing w:before="20" w:after="20" w:line="259" w:lineRule="auto"/>
      </w:pPr>
      <w:r>
        <w:rPr>
          <w:rFonts w:cs="Calibri"/>
          <w:b/>
          <w:color w:val="1F3A5F"/>
          <w:sz w:val="20"/>
        </w:rPr>
        <w:t xml:space="preserve">2.  Notify.  </w:t>
      </w:r>
      <w:r>
        <w:rPr>
          <w:rFonts w:cs="Calibri"/>
          <w:sz w:val="20"/>
        </w:rPr>
        <w:t>Tell the designated security or privacy owner immediately.</w:t>
      </w:r>
    </w:p>
    <w:p w14:paraId="51053F71" w14:textId="77777777" w:rsidR="00CF223A" w:rsidRDefault="00000000">
      <w:pPr>
        <w:spacing w:before="20" w:after="20" w:line="259" w:lineRule="auto"/>
      </w:pPr>
      <w:r>
        <w:rPr>
          <w:rFonts w:cs="Calibri"/>
          <w:b/>
          <w:color w:val="1F3A5F"/>
          <w:sz w:val="20"/>
        </w:rPr>
        <w:t xml:space="preserve">3.  Scope.  </w:t>
      </w:r>
      <w:r>
        <w:rPr>
          <w:rFonts w:cs="Calibri"/>
          <w:sz w:val="20"/>
        </w:rPr>
        <w:t>Identify exactly what was exposed, which tool, and its retention policy.</w:t>
      </w:r>
    </w:p>
    <w:p w14:paraId="515FAAEB" w14:textId="77777777" w:rsidR="00CF223A" w:rsidRDefault="00000000">
      <w:pPr>
        <w:spacing w:before="20" w:after="20" w:line="259" w:lineRule="auto"/>
      </w:pPr>
      <w:r>
        <w:rPr>
          <w:rFonts w:cs="Calibri"/>
          <w:b/>
          <w:color w:val="1F3A5F"/>
          <w:sz w:val="20"/>
        </w:rPr>
        <w:t xml:space="preserve">4.  Remediate.  </w:t>
      </w:r>
      <w:r>
        <w:rPr>
          <w:rFonts w:cs="Calibri"/>
          <w:sz w:val="20"/>
        </w:rPr>
        <w:t>Request deletion from the tool; rotate anything sensitive that was exposed.</w:t>
      </w:r>
    </w:p>
    <w:p w14:paraId="5E2CC8A5" w14:textId="77777777" w:rsidR="00CF223A" w:rsidRDefault="00000000">
      <w:pPr>
        <w:spacing w:before="20" w:after="20" w:line="259" w:lineRule="auto"/>
      </w:pPr>
      <w:r>
        <w:rPr>
          <w:rFonts w:cs="Calibri"/>
          <w:b/>
          <w:color w:val="1F3A5F"/>
          <w:sz w:val="20"/>
        </w:rPr>
        <w:t xml:space="preserve">5.  Document.  </w:t>
      </w:r>
      <w:r>
        <w:rPr>
          <w:rFonts w:cs="Calibri"/>
          <w:sz w:val="20"/>
        </w:rPr>
        <w:t>Log the incident: what, when, who, and the data involved.</w:t>
      </w:r>
    </w:p>
    <w:p w14:paraId="771A4285" w14:textId="77777777" w:rsidR="00CF223A" w:rsidRDefault="00000000">
      <w:pPr>
        <w:spacing w:before="20" w:after="20" w:line="259" w:lineRule="auto"/>
      </w:pPr>
      <w:r>
        <w:rPr>
          <w:rFonts w:cs="Calibri"/>
          <w:b/>
          <w:color w:val="1F3A5F"/>
          <w:sz w:val="20"/>
        </w:rPr>
        <w:t xml:space="preserve">6.  Assess notification.  </w:t>
      </w:r>
      <w:r>
        <w:rPr>
          <w:rFonts w:cs="Calibri"/>
          <w:sz w:val="20"/>
        </w:rPr>
        <w:t>Decide, with legal, whether customers, partners, or regulators must be told.</w:t>
      </w:r>
    </w:p>
    <w:p w14:paraId="4576EDB0" w14:textId="77777777" w:rsidR="00CF223A" w:rsidRDefault="00000000">
      <w:pPr>
        <w:spacing w:before="20" w:after="20" w:line="259" w:lineRule="auto"/>
      </w:pPr>
      <w:r>
        <w:rPr>
          <w:rFonts w:cs="Calibri"/>
          <w:b/>
          <w:color w:val="1F3A5F"/>
          <w:sz w:val="20"/>
        </w:rPr>
        <w:t xml:space="preserve">7.  Prevent.  </w:t>
      </w:r>
      <w:r>
        <w:rPr>
          <w:rFonts w:cs="Calibri"/>
          <w:sz w:val="20"/>
        </w:rPr>
        <w:t>Fix the workflow and tighten the approved-tool limits so it cannot recur.</w:t>
      </w:r>
    </w:p>
    <w:p w14:paraId="7E895F10" w14:textId="77777777" w:rsidR="00CF223A" w:rsidRDefault="00000000">
      <w:pPr>
        <w:spacing w:before="260" w:after="20" w:line="259" w:lineRule="auto"/>
      </w:pPr>
      <w:r>
        <w:rPr>
          <w:rFonts w:cs="Calibri"/>
          <w:b/>
          <w:color w:val="C87A12"/>
          <w:sz w:val="17"/>
        </w:rPr>
        <w:t>06</w:t>
      </w:r>
    </w:p>
    <w:p w14:paraId="7710D8C1" w14:textId="77777777" w:rsidR="00CF223A" w:rsidRDefault="00000000">
      <w:pPr>
        <w:spacing w:before="20" w:after="40" w:line="259" w:lineRule="auto"/>
      </w:pPr>
      <w:r>
        <w:rPr>
          <w:rFonts w:cs="Calibri"/>
          <w:b/>
          <w:color w:val="1F3A5F"/>
          <w:sz w:val="30"/>
        </w:rPr>
        <w:t>Know what kind of AI you are governing</w:t>
      </w:r>
    </w:p>
    <w:p w14:paraId="5C584C30" w14:textId="77777777" w:rsidR="00CF223A" w:rsidRDefault="00000000">
      <w:pPr>
        <w:spacing w:after="100" w:line="264" w:lineRule="auto"/>
      </w:pPr>
      <w:r>
        <w:rPr>
          <w:rFonts w:cs="Calibri"/>
          <w:i/>
          <w:color w:val="6B7785"/>
          <w:sz w:val="20"/>
        </w:rPr>
        <w:t>The governance load differs by category. Match the data class to the category, not just the brand.</w:t>
      </w:r>
    </w:p>
    <w:tbl>
      <w:tblPr>
        <w:tblW w:w="9936" w:type="dxa"/>
        <w:tblBorders>
          <w:top w:val="single" w:sz="4" w:space="0" w:color="C3CDD8"/>
          <w:left w:val="single" w:sz="4" w:space="0" w:color="C3CDD8"/>
          <w:bottom w:val="single" w:sz="4" w:space="0" w:color="C3CDD8"/>
          <w:right w:val="single" w:sz="4" w:space="0" w:color="C3CDD8"/>
          <w:insideH w:val="single" w:sz="4" w:space="0" w:color="C3CDD8"/>
          <w:insideV w:val="single" w:sz="4" w:space="0" w:color="C3CDD8"/>
        </w:tblBorders>
        <w:tblLayout w:type="fixed"/>
        <w:tblLook w:val="04A0" w:firstRow="1" w:lastRow="0" w:firstColumn="1" w:lastColumn="0" w:noHBand="0" w:noVBand="1"/>
      </w:tblPr>
      <w:tblGrid>
        <w:gridCol w:w="2500"/>
        <w:gridCol w:w="3100"/>
        <w:gridCol w:w="4336"/>
      </w:tblGrid>
      <w:tr w:rsidR="00CF223A" w14:paraId="0C783737" w14:textId="77777777">
        <w:trPr>
          <w:tblHeader/>
        </w:trPr>
        <w:tc>
          <w:tcPr>
            <w:tcW w:w="2500" w:type="dxa"/>
            <w:shd w:val="clear" w:color="auto" w:fill="EDF1F5"/>
            <w:tcMar>
              <w:top w:w="60" w:type="dxa"/>
              <w:left w:w="110" w:type="dxa"/>
              <w:bottom w:w="60" w:type="dxa"/>
              <w:right w:w="90" w:type="dxa"/>
            </w:tcMar>
          </w:tcPr>
          <w:p w14:paraId="426FB2D1" w14:textId="77777777" w:rsidR="00CF223A" w:rsidRDefault="00000000">
            <w:pPr>
              <w:spacing w:after="0"/>
            </w:pPr>
            <w:r>
              <w:rPr>
                <w:rFonts w:cs="Calibri"/>
                <w:b/>
                <w:color w:val="1F3A5F"/>
                <w:sz w:val="17"/>
              </w:rPr>
              <w:t>Category</w:t>
            </w:r>
          </w:p>
        </w:tc>
        <w:tc>
          <w:tcPr>
            <w:tcW w:w="3100" w:type="dxa"/>
            <w:shd w:val="clear" w:color="auto" w:fill="EDF1F5"/>
            <w:tcMar>
              <w:top w:w="60" w:type="dxa"/>
              <w:left w:w="110" w:type="dxa"/>
              <w:bottom w:w="60" w:type="dxa"/>
              <w:right w:w="90" w:type="dxa"/>
            </w:tcMar>
          </w:tcPr>
          <w:p w14:paraId="522BCC8C" w14:textId="77777777" w:rsidR="00CF223A" w:rsidRDefault="00000000">
            <w:pPr>
              <w:spacing w:after="0"/>
            </w:pPr>
            <w:r>
              <w:rPr>
                <w:rFonts w:cs="Calibri"/>
                <w:b/>
                <w:color w:val="1F3A5F"/>
                <w:sz w:val="17"/>
              </w:rPr>
              <w:t>Example</w:t>
            </w:r>
          </w:p>
        </w:tc>
        <w:tc>
          <w:tcPr>
            <w:tcW w:w="4336" w:type="dxa"/>
            <w:shd w:val="clear" w:color="auto" w:fill="EDF1F5"/>
            <w:tcMar>
              <w:top w:w="60" w:type="dxa"/>
              <w:left w:w="110" w:type="dxa"/>
              <w:bottom w:w="60" w:type="dxa"/>
              <w:right w:w="90" w:type="dxa"/>
            </w:tcMar>
          </w:tcPr>
          <w:p w14:paraId="755301C7" w14:textId="77777777" w:rsidR="00CF223A" w:rsidRDefault="00000000">
            <w:pPr>
              <w:spacing w:after="0"/>
            </w:pPr>
            <w:r>
              <w:rPr>
                <w:rFonts w:cs="Calibri"/>
                <w:b/>
                <w:color w:val="1F3A5F"/>
                <w:sz w:val="17"/>
              </w:rPr>
              <w:t>Governance note</w:t>
            </w:r>
          </w:p>
        </w:tc>
      </w:tr>
      <w:tr w:rsidR="00CF223A" w14:paraId="6BA5D563" w14:textId="77777777">
        <w:tc>
          <w:tcPr>
            <w:tcW w:w="250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AEAFF7C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Consumer AI</w:t>
            </w:r>
          </w:p>
        </w:tc>
        <w:tc>
          <w:tcPr>
            <w:tcW w:w="310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4583554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ChatGPT Free, Midjourney</w:t>
            </w:r>
          </w:p>
        </w:tc>
        <w:tc>
          <w:tcPr>
            <w:tcW w:w="4336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702A5F7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Often no DPA and may train on inputs. Public data only.</w:t>
            </w:r>
          </w:p>
        </w:tc>
      </w:tr>
      <w:tr w:rsidR="00CF223A" w14:paraId="4D81AA5D" w14:textId="77777777">
        <w:tc>
          <w:tcPr>
            <w:tcW w:w="250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3F81CF1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Enterprise AI</w:t>
            </w:r>
          </w:p>
        </w:tc>
        <w:tc>
          <w:tcPr>
            <w:tcW w:w="310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07B2BA1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ChatGPT Enterprise, Claude for Work</w:t>
            </w:r>
          </w:p>
        </w:tc>
        <w:tc>
          <w:tcPr>
            <w:tcW w:w="4336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045B6C6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DPA, no training on your data, admin controls. Handles more.</w:t>
            </w:r>
          </w:p>
        </w:tc>
      </w:tr>
      <w:tr w:rsidR="00CF223A" w14:paraId="2A796502" w14:textId="77777777">
        <w:tc>
          <w:tcPr>
            <w:tcW w:w="250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27182DD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API-based</w:t>
            </w:r>
          </w:p>
        </w:tc>
        <w:tc>
          <w:tcPr>
            <w:tcW w:w="310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7B5F9ED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Provider APIs in your own product</w:t>
            </w:r>
          </w:p>
        </w:tc>
        <w:tc>
          <w:tcPr>
            <w:tcW w:w="4336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B41E84A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Governed by the provider's terms. Check data use and residency.</w:t>
            </w:r>
          </w:p>
        </w:tc>
      </w:tr>
      <w:tr w:rsidR="00CF223A" w14:paraId="2C0F3FD0" w14:textId="77777777">
        <w:tc>
          <w:tcPr>
            <w:tcW w:w="250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E24B673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Embedded in design tools</w:t>
            </w:r>
          </w:p>
        </w:tc>
        <w:tc>
          <w:tcPr>
            <w:tcW w:w="3100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1782083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Figma AI, Notion AI</w:t>
            </w:r>
          </w:p>
        </w:tc>
        <w:tc>
          <w:tcPr>
            <w:tcW w:w="4336" w:type="dxa"/>
            <w:shd w:val="clear" w:color="auto" w:fill="FFFFF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884070C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Inherits that tool's data posture. Vet the host, not just the feature.</w:t>
            </w:r>
          </w:p>
        </w:tc>
      </w:tr>
      <w:tr w:rsidR="00CF223A" w14:paraId="49EB0B4A" w14:textId="77777777">
        <w:tc>
          <w:tcPr>
            <w:tcW w:w="250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00FC9FB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b/>
                <w:color w:val="1F3A5F"/>
                <w:sz w:val="19"/>
              </w:rPr>
              <w:t>Open-source / self-hosted</w:t>
            </w:r>
          </w:p>
        </w:tc>
        <w:tc>
          <w:tcPr>
            <w:tcW w:w="3100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8C47D98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Models you run yourself</w:t>
            </w:r>
          </w:p>
        </w:tc>
        <w:tc>
          <w:tcPr>
            <w:tcW w:w="4336" w:type="dxa"/>
            <w:shd w:val="clear" w:color="auto" w:fill="F7F9FB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5132124" w14:textId="77777777" w:rsidR="00CF223A" w:rsidRDefault="00000000">
            <w:pPr>
              <w:spacing w:after="0" w:line="247" w:lineRule="auto"/>
            </w:pPr>
            <w:r>
              <w:rPr>
                <w:rFonts w:cs="Calibri"/>
                <w:sz w:val="19"/>
              </w:rPr>
              <w:t>Most control, most responsibility. You own the security and upkeep.</w:t>
            </w:r>
          </w:p>
        </w:tc>
      </w:tr>
    </w:tbl>
    <w:p w14:paraId="591CEBF9" w14:textId="77777777" w:rsidR="00CF223A" w:rsidRDefault="00000000">
      <w:pPr>
        <w:spacing w:before="260" w:after="20" w:line="259" w:lineRule="auto"/>
      </w:pPr>
      <w:r>
        <w:rPr>
          <w:rFonts w:cs="Calibri"/>
          <w:b/>
          <w:color w:val="C87A12"/>
          <w:sz w:val="17"/>
        </w:rPr>
        <w:t>07</w:t>
      </w:r>
    </w:p>
    <w:p w14:paraId="4595A458" w14:textId="77777777" w:rsidR="00CF223A" w:rsidRDefault="00000000">
      <w:pPr>
        <w:spacing w:before="20" w:after="40" w:line="259" w:lineRule="auto"/>
      </w:pPr>
      <w:r>
        <w:rPr>
          <w:rFonts w:cs="Calibri"/>
          <w:b/>
          <w:color w:val="1F3A5F"/>
          <w:sz w:val="30"/>
        </w:rPr>
        <w:t>Keep it under review</w:t>
      </w:r>
    </w:p>
    <w:p w14:paraId="18CEAB99" w14:textId="77777777" w:rsidR="00CF223A" w:rsidRDefault="00000000">
      <w:pPr>
        <w:spacing w:after="100" w:line="264" w:lineRule="auto"/>
      </w:pPr>
      <w:r>
        <w:rPr>
          <w:rFonts w:cs="Calibri"/>
          <w:i/>
          <w:color w:val="6B7785"/>
          <w:sz w:val="20"/>
        </w:rPr>
        <w:t>Governance is a cadence, not a launch. A light rhythm beats a heavy one that lapses.</w:t>
      </w:r>
    </w:p>
    <w:tbl>
      <w:tblPr>
        <w:tblW w:w="9936" w:type="dxa"/>
        <w:jc w:val="center"/>
        <w:tblBorders>
          <w:top w:val="single" w:sz="4" w:space="0" w:color="C3CDD8"/>
          <w:left w:val="single" w:sz="4" w:space="0" w:color="C3CDD8"/>
          <w:bottom w:val="single" w:sz="4" w:space="0" w:color="C3CDD8"/>
          <w:right w:val="single" w:sz="4" w:space="0" w:color="C3CDD8"/>
          <w:insideH w:val="single" w:sz="4" w:space="0" w:color="C3CDD8"/>
          <w:insideV w:val="single" w:sz="4" w:space="0" w:color="C3CDD8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CF223A" w14:paraId="4F7C3997" w14:textId="77777777">
        <w:trPr>
          <w:jc w:val="center"/>
        </w:trPr>
        <w:tc>
          <w:tcPr>
            <w:tcW w:w="3312" w:type="dxa"/>
            <w:shd w:val="clear" w:color="auto" w:fill="EDF1F5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B99C813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1F3A5F"/>
                <w:sz w:val="20"/>
              </w:rPr>
              <w:t>Monthly</w:t>
            </w:r>
          </w:p>
        </w:tc>
        <w:tc>
          <w:tcPr>
            <w:tcW w:w="3312" w:type="dxa"/>
            <w:shd w:val="clear" w:color="auto" w:fill="EDF1F5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59D6348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1F3A5F"/>
                <w:sz w:val="20"/>
              </w:rPr>
              <w:t>Quarterly</w:t>
            </w:r>
          </w:p>
        </w:tc>
        <w:tc>
          <w:tcPr>
            <w:tcW w:w="3312" w:type="dxa"/>
            <w:shd w:val="clear" w:color="auto" w:fill="EDF1F5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1F6ADF3" w14:textId="77777777" w:rsidR="00CF223A" w:rsidRDefault="00000000">
            <w:pPr>
              <w:spacing w:after="0"/>
              <w:jc w:val="center"/>
            </w:pPr>
            <w:r>
              <w:rPr>
                <w:rFonts w:cs="Calibri"/>
                <w:b/>
                <w:color w:val="1F3A5F"/>
                <w:sz w:val="20"/>
              </w:rPr>
              <w:t>Annually</w:t>
            </w:r>
          </w:p>
        </w:tc>
      </w:tr>
      <w:tr w:rsidR="00CF223A" w14:paraId="2924A123" w14:textId="77777777">
        <w:trPr>
          <w:jc w:val="center"/>
        </w:trPr>
        <w:tc>
          <w:tcPr>
            <w:tcW w:w="3312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BBA286D" w14:textId="77777777" w:rsidR="00CF223A" w:rsidRDefault="00000000">
            <w:pPr>
              <w:spacing w:before="20" w:after="20" w:line="254" w:lineRule="auto"/>
            </w:pPr>
            <w:r>
              <w:rPr>
                <w:rFonts w:cs="Calibri"/>
                <w:b/>
                <w:color w:val="6B7785"/>
                <w:sz w:val="18"/>
              </w:rPr>
              <w:lastRenderedPageBreak/>
              <w:t xml:space="preserve">• </w:t>
            </w:r>
            <w:r>
              <w:rPr>
                <w:rFonts w:cs="Calibri"/>
                <w:sz w:val="19"/>
              </w:rPr>
              <w:t>Review any incidents</w:t>
            </w:r>
          </w:p>
          <w:p w14:paraId="5FADBDE1" w14:textId="77777777" w:rsidR="00CF223A" w:rsidRDefault="00000000">
            <w:pPr>
              <w:spacing w:before="20" w:after="20" w:line="254" w:lineRule="auto"/>
            </w:pPr>
            <w:r>
              <w:rPr>
                <w:rFonts w:cs="Calibri"/>
                <w:b/>
                <w:color w:val="6B7785"/>
                <w:sz w:val="18"/>
              </w:rPr>
              <w:t xml:space="preserve">• </w:t>
            </w:r>
            <w:r>
              <w:rPr>
                <w:rFonts w:cs="Calibri"/>
                <w:sz w:val="19"/>
              </w:rPr>
              <w:t>Screen new tool requests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5A4A50" w14:textId="77777777" w:rsidR="00CF223A" w:rsidRDefault="00000000">
            <w:pPr>
              <w:spacing w:before="20" w:after="20" w:line="254" w:lineRule="auto"/>
            </w:pPr>
            <w:r>
              <w:rPr>
                <w:rFonts w:cs="Calibri"/>
                <w:b/>
                <w:color w:val="6B7785"/>
                <w:sz w:val="18"/>
              </w:rPr>
              <w:t xml:space="preserve">• </w:t>
            </w:r>
            <w:r>
              <w:rPr>
                <w:rFonts w:cs="Calibri"/>
                <w:sz w:val="19"/>
              </w:rPr>
              <w:t>Re-check approved-tool terms and policy changes</w:t>
            </w:r>
          </w:p>
          <w:p w14:paraId="4DE1B647" w14:textId="77777777" w:rsidR="00CF223A" w:rsidRDefault="00000000">
            <w:pPr>
              <w:spacing w:before="20" w:after="20" w:line="254" w:lineRule="auto"/>
            </w:pPr>
            <w:r>
              <w:rPr>
                <w:rFonts w:cs="Calibri"/>
                <w:b/>
                <w:color w:val="6B7785"/>
                <w:sz w:val="18"/>
              </w:rPr>
              <w:t xml:space="preserve">• </w:t>
            </w:r>
            <w:r>
              <w:rPr>
                <w:rFonts w:cs="Calibri"/>
                <w:sz w:val="19"/>
              </w:rPr>
              <w:t>Review usage and shadow AI</w:t>
            </w:r>
          </w:p>
          <w:p w14:paraId="671AAC1D" w14:textId="77777777" w:rsidR="00CF223A" w:rsidRDefault="00000000">
            <w:pPr>
              <w:spacing w:before="20" w:after="20" w:line="254" w:lineRule="auto"/>
            </w:pPr>
            <w:r>
              <w:rPr>
                <w:rFonts w:cs="Calibri"/>
                <w:b/>
                <w:color w:val="6B7785"/>
                <w:sz w:val="18"/>
              </w:rPr>
              <w:t xml:space="preserve">• </w:t>
            </w:r>
            <w:r>
              <w:rPr>
                <w:rFonts w:cs="Calibri"/>
                <w:sz w:val="19"/>
              </w:rPr>
              <w:t>Refresh the directory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49CB13" w14:textId="77777777" w:rsidR="00CF223A" w:rsidRDefault="00000000">
            <w:pPr>
              <w:spacing w:before="20" w:after="20" w:line="254" w:lineRule="auto"/>
            </w:pPr>
            <w:r>
              <w:rPr>
                <w:rFonts w:cs="Calibri"/>
                <w:b/>
                <w:color w:val="6B7785"/>
                <w:sz w:val="18"/>
              </w:rPr>
              <w:t xml:space="preserve">• </w:t>
            </w:r>
            <w:r>
              <w:rPr>
                <w:rFonts w:cs="Calibri"/>
                <w:sz w:val="19"/>
              </w:rPr>
              <w:t>Reassess the governance model and ownership</w:t>
            </w:r>
          </w:p>
          <w:p w14:paraId="7B005903" w14:textId="77777777" w:rsidR="00CF223A" w:rsidRDefault="00000000">
            <w:pPr>
              <w:spacing w:before="20" w:after="20" w:line="254" w:lineRule="auto"/>
            </w:pPr>
            <w:r>
              <w:rPr>
                <w:rFonts w:cs="Calibri"/>
                <w:b/>
                <w:color w:val="6B7785"/>
                <w:sz w:val="18"/>
              </w:rPr>
              <w:t xml:space="preserve">• </w:t>
            </w:r>
            <w:r>
              <w:rPr>
                <w:rFonts w:cs="Calibri"/>
                <w:sz w:val="19"/>
              </w:rPr>
              <w:t>Refresh training</w:t>
            </w:r>
          </w:p>
          <w:p w14:paraId="5763C25F" w14:textId="77777777" w:rsidR="00CF223A" w:rsidRDefault="00000000">
            <w:pPr>
              <w:spacing w:before="20" w:after="20" w:line="254" w:lineRule="auto"/>
            </w:pPr>
            <w:r>
              <w:rPr>
                <w:rFonts w:cs="Calibri"/>
                <w:b/>
                <w:color w:val="6B7785"/>
                <w:sz w:val="18"/>
              </w:rPr>
              <w:t xml:space="preserve">• </w:t>
            </w:r>
            <w:r>
              <w:rPr>
                <w:rFonts w:cs="Calibri"/>
                <w:sz w:val="19"/>
              </w:rPr>
              <w:t>Update data classes and red lines</w:t>
            </w:r>
          </w:p>
        </w:tc>
      </w:tr>
    </w:tbl>
    <w:p w14:paraId="7D468165" w14:textId="77777777" w:rsidR="00CF223A" w:rsidRDefault="00000000">
      <w:pPr>
        <w:spacing w:before="260" w:after="20" w:line="259" w:lineRule="auto"/>
      </w:pPr>
      <w:r>
        <w:rPr>
          <w:rFonts w:cs="Calibri"/>
          <w:b/>
          <w:color w:val="C87A12"/>
          <w:sz w:val="17"/>
        </w:rPr>
        <w:t>08</w:t>
      </w:r>
    </w:p>
    <w:p w14:paraId="14DEFD0D" w14:textId="77777777" w:rsidR="00CF223A" w:rsidRDefault="00000000">
      <w:pPr>
        <w:spacing w:before="20" w:after="40" w:line="259" w:lineRule="auto"/>
      </w:pPr>
      <w:r>
        <w:rPr>
          <w:rFonts w:cs="Calibri"/>
          <w:b/>
          <w:color w:val="1F3A5F"/>
          <w:sz w:val="30"/>
        </w:rPr>
        <w:t>What to train designers on</w:t>
      </w:r>
    </w:p>
    <w:p w14:paraId="499E8ADA" w14:textId="77777777" w:rsidR="00CF223A" w:rsidRDefault="00000000">
      <w:pPr>
        <w:spacing w:after="100" w:line="264" w:lineRule="auto"/>
      </w:pPr>
      <w:r>
        <w:rPr>
          <w:rFonts w:cs="Calibri"/>
          <w:i/>
          <w:color w:val="6B7785"/>
          <w:sz w:val="20"/>
        </w:rPr>
        <w:t>The enablement layer. Keep the full training in your Adopting AI guide; this is the checklist of what it should cover.</w:t>
      </w:r>
    </w:p>
    <w:p w14:paraId="6241B0B3" w14:textId="77777777" w:rsidR="00CF223A" w:rsidRDefault="00000000">
      <w:pPr>
        <w:spacing w:before="20" w:after="20" w:line="264" w:lineRule="auto"/>
      </w:pPr>
      <w:r>
        <w:rPr>
          <w:rFonts w:cs="Calibri"/>
          <w:b/>
          <w:color w:val="C87A12"/>
          <w:sz w:val="20"/>
        </w:rPr>
        <w:t xml:space="preserve">▪  </w:t>
      </w:r>
      <w:r>
        <w:rPr>
          <w:rFonts w:cs="Calibri"/>
          <w:b/>
          <w:color w:val="1F3A5F"/>
          <w:sz w:val="20"/>
        </w:rPr>
        <w:t xml:space="preserve">AI literacy  ·  </w:t>
      </w:r>
      <w:r>
        <w:rPr>
          <w:rFonts w:cs="Calibri"/>
          <w:sz w:val="20"/>
        </w:rPr>
        <w:t>what these tools can and cannot do, and where they fail</w:t>
      </w:r>
    </w:p>
    <w:p w14:paraId="0D24A543" w14:textId="77777777" w:rsidR="00CF223A" w:rsidRDefault="00000000">
      <w:pPr>
        <w:spacing w:before="20" w:after="20" w:line="264" w:lineRule="auto"/>
      </w:pPr>
      <w:r>
        <w:rPr>
          <w:rFonts w:cs="Calibri"/>
          <w:b/>
          <w:color w:val="C87A12"/>
          <w:sz w:val="20"/>
        </w:rPr>
        <w:t xml:space="preserve">▪  </w:t>
      </w:r>
      <w:r>
        <w:rPr>
          <w:rFonts w:cs="Calibri"/>
          <w:b/>
          <w:color w:val="1F3A5F"/>
          <w:sz w:val="20"/>
        </w:rPr>
        <w:t xml:space="preserve">Prompt and context design  ·  </w:t>
      </w:r>
      <w:r>
        <w:rPr>
          <w:rFonts w:cs="Calibri"/>
          <w:sz w:val="20"/>
        </w:rPr>
        <w:t>giving the model useful constraints and inputs</w:t>
      </w:r>
    </w:p>
    <w:p w14:paraId="51E4B3D6" w14:textId="77777777" w:rsidR="00CF223A" w:rsidRDefault="00000000">
      <w:pPr>
        <w:spacing w:before="20" w:after="20" w:line="264" w:lineRule="auto"/>
      </w:pPr>
      <w:r>
        <w:rPr>
          <w:rFonts w:cs="Calibri"/>
          <w:b/>
          <w:color w:val="C87A12"/>
          <w:sz w:val="20"/>
        </w:rPr>
        <w:t xml:space="preserve">▪  </w:t>
      </w:r>
      <w:r>
        <w:rPr>
          <w:rFonts w:cs="Calibri"/>
          <w:b/>
          <w:color w:val="1F3A5F"/>
          <w:sz w:val="20"/>
        </w:rPr>
        <w:t xml:space="preserve">Critical evaluation  ·  </w:t>
      </w:r>
      <w:r>
        <w:rPr>
          <w:rFonts w:cs="Calibri"/>
          <w:sz w:val="20"/>
        </w:rPr>
        <w:t>spotting hallucination, bias, and weak reasoning</w:t>
      </w:r>
    </w:p>
    <w:p w14:paraId="4DD3F0EF" w14:textId="77777777" w:rsidR="00CF223A" w:rsidRDefault="00000000">
      <w:pPr>
        <w:spacing w:before="20" w:after="20" w:line="264" w:lineRule="auto"/>
      </w:pPr>
      <w:r>
        <w:rPr>
          <w:rFonts w:cs="Calibri"/>
          <w:b/>
          <w:color w:val="C87A12"/>
          <w:sz w:val="20"/>
        </w:rPr>
        <w:t xml:space="preserve">▪  </w:t>
      </w:r>
      <w:r>
        <w:rPr>
          <w:rFonts w:cs="Calibri"/>
          <w:b/>
          <w:color w:val="1F3A5F"/>
          <w:sz w:val="20"/>
        </w:rPr>
        <w:t xml:space="preserve">Data and privacy  ·  </w:t>
      </w:r>
      <w:r>
        <w:rPr>
          <w:rFonts w:cs="Calibri"/>
          <w:sz w:val="20"/>
        </w:rPr>
        <w:t>what can and cannot be shared, and with which tool</w:t>
      </w:r>
    </w:p>
    <w:p w14:paraId="56CED2A5" w14:textId="77777777" w:rsidR="00CF223A" w:rsidRDefault="00000000">
      <w:pPr>
        <w:spacing w:before="20" w:after="20" w:line="264" w:lineRule="auto"/>
      </w:pPr>
      <w:r>
        <w:rPr>
          <w:rFonts w:cs="Calibri"/>
          <w:b/>
          <w:color w:val="C87A12"/>
          <w:sz w:val="20"/>
        </w:rPr>
        <w:t xml:space="preserve">▪  </w:t>
      </w:r>
      <w:r>
        <w:rPr>
          <w:rFonts w:cs="Calibri"/>
          <w:b/>
          <w:color w:val="1F3A5F"/>
          <w:sz w:val="20"/>
        </w:rPr>
        <w:t xml:space="preserve">Responsible design  ·  </w:t>
      </w:r>
      <w:r>
        <w:rPr>
          <w:rFonts w:cs="Calibri"/>
          <w:sz w:val="20"/>
        </w:rPr>
        <w:t>accountability, accessibility, inclusion, and IP</w:t>
      </w:r>
    </w:p>
    <w:p w14:paraId="5773EB44" w14:textId="77777777" w:rsidR="00CF223A" w:rsidRDefault="00000000">
      <w:pPr>
        <w:spacing w:before="260" w:after="60" w:line="259" w:lineRule="auto"/>
      </w:pPr>
      <w:r>
        <w:rPr>
          <w:rFonts w:cs="Calibri"/>
          <w:b/>
          <w:color w:val="1F3A5F"/>
          <w:sz w:val="26"/>
        </w:rPr>
        <w:t>Frameworks worth knowing</w:t>
      </w:r>
    </w:p>
    <w:p w14:paraId="15157C0D" w14:textId="77777777" w:rsidR="00CF223A" w:rsidRDefault="00000000">
      <w:pPr>
        <w:spacing w:before="20" w:after="20" w:line="264" w:lineRule="auto"/>
      </w:pPr>
      <w:r>
        <w:rPr>
          <w:rFonts w:cs="Calibri"/>
          <w:b/>
          <w:color w:val="C87A12"/>
          <w:sz w:val="20"/>
        </w:rPr>
        <w:t xml:space="preserve">▪  </w:t>
      </w:r>
      <w:hyperlink r:id="rId6">
        <w:r>
          <w:rPr>
            <w:rFonts w:cs="Calibri"/>
            <w:b/>
            <w:color w:val="1F3A5F"/>
            <w:sz w:val="20"/>
            <w:u w:val="single"/>
          </w:rPr>
          <w:t>NIST AI Risk Management Framework</w:t>
        </w:r>
      </w:hyperlink>
      <w:r>
        <w:rPr>
          <w:rFonts w:cs="Calibri"/>
          <w:sz w:val="20"/>
        </w:rPr>
        <w:t xml:space="preserve">  ·  a structured way to think about AI risk and mitigation</w:t>
      </w:r>
    </w:p>
    <w:p w14:paraId="7444CB39" w14:textId="77777777" w:rsidR="00CF223A" w:rsidRDefault="00000000">
      <w:pPr>
        <w:spacing w:before="20" w:after="20" w:line="264" w:lineRule="auto"/>
      </w:pPr>
      <w:r>
        <w:rPr>
          <w:rFonts w:cs="Calibri"/>
          <w:b/>
          <w:color w:val="C87A12"/>
          <w:sz w:val="20"/>
        </w:rPr>
        <w:t xml:space="preserve">▪  </w:t>
      </w:r>
      <w:hyperlink r:id="rId7">
        <w:r>
          <w:rPr>
            <w:rFonts w:cs="Calibri"/>
            <w:b/>
            <w:color w:val="1F3A5F"/>
            <w:sz w:val="20"/>
            <w:u w:val="single"/>
          </w:rPr>
          <w:t>ISO/IEC 42001</w:t>
        </w:r>
      </w:hyperlink>
      <w:r>
        <w:rPr>
          <w:rFonts w:cs="Calibri"/>
          <w:sz w:val="20"/>
        </w:rPr>
        <w:t xml:space="preserve">  ·  the management-system standard for responsible AI</w:t>
      </w:r>
    </w:p>
    <w:p w14:paraId="0E353502" w14:textId="77777777" w:rsidR="00CF223A" w:rsidRDefault="00000000">
      <w:pPr>
        <w:spacing w:before="20" w:after="20" w:line="264" w:lineRule="auto"/>
      </w:pPr>
      <w:r>
        <w:rPr>
          <w:rFonts w:cs="Calibri"/>
          <w:b/>
          <w:color w:val="C87A12"/>
          <w:sz w:val="20"/>
        </w:rPr>
        <w:t xml:space="preserve">▪  </w:t>
      </w:r>
      <w:hyperlink r:id="rId8">
        <w:r>
          <w:rPr>
            <w:rFonts w:cs="Calibri"/>
            <w:b/>
            <w:color w:val="1F3A5F"/>
            <w:sz w:val="20"/>
            <w:u w:val="single"/>
          </w:rPr>
          <w:t>Microsoft Responsible AI</w:t>
        </w:r>
      </w:hyperlink>
      <w:r>
        <w:rPr>
          <w:rFonts w:cs="Calibri"/>
          <w:sz w:val="20"/>
        </w:rPr>
        <w:t xml:space="preserve">  ·  practical responsible-AI principles and practices</w:t>
      </w:r>
    </w:p>
    <w:p w14:paraId="5386492E" w14:textId="77777777" w:rsidR="0022264A" w:rsidRDefault="00000000" w:rsidP="0022264A">
      <w:pPr>
        <w:pBdr>
          <w:bottom w:val="single" w:sz="6" w:space="2" w:color="C3CDD8"/>
        </w:pBdr>
        <w:spacing w:before="280" w:after="0" w:line="259" w:lineRule="auto"/>
      </w:pPr>
      <w:r>
        <w:rPr>
          <w:rFonts w:cs="Calibri"/>
          <w:color w:val="6B7785"/>
          <w:sz w:val="17"/>
        </w:rPr>
        <w:t xml:space="preserve">AI Governance for Design Teams   ·   the operational companion to the AI Guardrails doc   ·   </w:t>
      </w:r>
      <w:r w:rsidR="0022264A">
        <w:rPr>
          <w:rFonts w:cs="Calibri"/>
          <w:color w:val="6B7785"/>
          <w:sz w:val="17"/>
        </w:rPr>
        <w:br/>
      </w:r>
    </w:p>
    <w:p w14:paraId="5FC4B6E3" w14:textId="1CBCEF99" w:rsidR="0022264A" w:rsidRPr="00414AB7" w:rsidRDefault="0022264A" w:rsidP="0022264A">
      <w:pPr>
        <w:spacing w:before="80"/>
        <w:rPr>
          <w:sz w:val="18"/>
          <w:szCs w:val="18"/>
        </w:rPr>
      </w:pPr>
      <w:r w:rsidRPr="00F86432">
        <w:rPr>
          <w:sz w:val="20"/>
        </w:rPr>
        <w:t>Resource by</w:t>
      </w:r>
      <w:r>
        <w:rPr>
          <w:sz w:val="20"/>
        </w:rPr>
        <w:t xml:space="preserve"> </w:t>
      </w:r>
      <w:r w:rsidRPr="00F86432">
        <w:rPr>
          <w:sz w:val="20"/>
        </w:rPr>
        <w:t>-</w:t>
      </w:r>
      <w:r>
        <w:rPr>
          <w:color w:val="6B7785"/>
          <w:sz w:val="20"/>
          <w:szCs w:val="20"/>
        </w:rPr>
        <w:t xml:space="preserve">   </w:t>
      </w:r>
      <w:r w:rsidRPr="00F86432">
        <w:rPr>
          <w:b/>
          <w:color w:val="1F3A5F"/>
          <w:sz w:val="20"/>
          <w:szCs w:val="20"/>
        </w:rPr>
        <w:t>Surbhi</w:t>
      </w:r>
      <w:r w:rsidRPr="00711B10">
        <w:rPr>
          <w:b/>
          <w:color w:val="1F3A5F"/>
          <w:sz w:val="20"/>
          <w:szCs w:val="20"/>
        </w:rPr>
        <w:t xml:space="preserve"> Hote</w:t>
      </w:r>
      <w:r>
        <w:rPr>
          <w:b/>
          <w:color w:val="1F3A5F"/>
          <w:sz w:val="20"/>
          <w:szCs w:val="20"/>
        </w:rPr>
        <w:t xml:space="preserve"> (Lead Product </w:t>
      </w:r>
      <w:proofErr w:type="gramStart"/>
      <w:r>
        <w:rPr>
          <w:b/>
          <w:color w:val="1F3A5F"/>
          <w:sz w:val="20"/>
          <w:szCs w:val="20"/>
        </w:rPr>
        <w:t xml:space="preserve">Designer)   </w:t>
      </w:r>
      <w:proofErr w:type="gramEnd"/>
      <w:hyperlink r:id="rId9" w:history="1">
        <w:r w:rsidRPr="00861A51">
          <w:rPr>
            <w:rStyle w:val="Hyperlink"/>
            <w:i/>
            <w:sz w:val="20"/>
            <w:szCs w:val="20"/>
          </w:rPr>
          <w:t>surbhihote@gmail.com</w:t>
        </w:r>
      </w:hyperlink>
      <w:r w:rsidRPr="00861A51">
        <w:rPr>
          <w:sz w:val="20"/>
          <w:szCs w:val="20"/>
        </w:rPr>
        <w:t xml:space="preserve">  </w:t>
      </w:r>
      <w:r w:rsidRPr="00861A51">
        <w:rPr>
          <w:color w:val="6B7785"/>
          <w:sz w:val="20"/>
          <w:szCs w:val="20"/>
        </w:rPr>
        <w:t xml:space="preserve"> </w:t>
      </w:r>
      <w:hyperlink r:id="rId10" w:history="1">
        <w:r w:rsidRPr="00861A51">
          <w:rPr>
            <w:rStyle w:val="Hyperlink"/>
            <w:i/>
            <w:sz w:val="20"/>
            <w:szCs w:val="20"/>
          </w:rPr>
          <w:t>www.surbhihote.com</w:t>
        </w:r>
      </w:hyperlink>
      <w:r w:rsidRPr="00861A51">
        <w:rPr>
          <w:color w:val="6B7785"/>
          <w:sz w:val="20"/>
          <w:szCs w:val="20"/>
        </w:rPr>
        <w:t xml:space="preserve">  </w:t>
      </w:r>
      <w:hyperlink r:id="rId11" w:history="1">
        <w:r w:rsidRPr="00861A51">
          <w:rPr>
            <w:rStyle w:val="Hyperlink"/>
            <w:i/>
            <w:sz w:val="20"/>
            <w:szCs w:val="20"/>
          </w:rPr>
          <w:t>LinkedIn</w:t>
        </w:r>
      </w:hyperlink>
    </w:p>
    <w:p w14:paraId="58563252" w14:textId="61DDAAAF" w:rsidR="00CF223A" w:rsidRDefault="0022264A">
      <w:pPr>
        <w:spacing w:before="80" w:after="0" w:line="259" w:lineRule="auto"/>
      </w:pPr>
      <w:r>
        <w:t xml:space="preserve">   </w:t>
      </w:r>
    </w:p>
    <w:sectPr w:rsidR="00CF223A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3328631">
    <w:abstractNumId w:val="8"/>
  </w:num>
  <w:num w:numId="2" w16cid:durableId="162164963">
    <w:abstractNumId w:val="6"/>
  </w:num>
  <w:num w:numId="3" w16cid:durableId="344407891">
    <w:abstractNumId w:val="5"/>
  </w:num>
  <w:num w:numId="4" w16cid:durableId="1404136396">
    <w:abstractNumId w:val="4"/>
  </w:num>
  <w:num w:numId="5" w16cid:durableId="539900398">
    <w:abstractNumId w:val="7"/>
  </w:num>
  <w:num w:numId="6" w16cid:durableId="785153387">
    <w:abstractNumId w:val="3"/>
  </w:num>
  <w:num w:numId="7" w16cid:durableId="748236383">
    <w:abstractNumId w:val="2"/>
  </w:num>
  <w:num w:numId="8" w16cid:durableId="1502237046">
    <w:abstractNumId w:val="1"/>
  </w:num>
  <w:num w:numId="9" w16cid:durableId="25521034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7FBC"/>
    <w:rsid w:val="0022264A"/>
    <w:rsid w:val="0029639D"/>
    <w:rsid w:val="00326F90"/>
    <w:rsid w:val="00AA1D8D"/>
    <w:rsid w:val="00B47730"/>
    <w:rsid w:val="00CB0664"/>
    <w:rsid w:val="00CF223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F3D042"/>
  <w14:defaultImageDpi w14:val="300"/>
  <w15:docId w15:val="{C860A22A-EBF4-184B-9C81-63721D594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F3A46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uiPriority w:val="99"/>
    <w:unhideWhenUsed/>
    <w:rsid w:val="0022264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crosoft.com/ai/responsible-a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iso.org/standard/42001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ist.gov/itl/ai-risk-management-framework" TargetMode="External"/><Relationship Id="rId11" Type="http://schemas.openxmlformats.org/officeDocument/2006/relationships/hyperlink" Target="https://www.linkedin.com/in/surbhihote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urbhihote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urbhihot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613f813-dcc0-4abb-b537-3809b164d3db}" enabled="1" method="Standard" siteId="{4657d5ee-a660-475f-bb10-99b5df3efd4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Surbhi Hote</cp:lastModifiedBy>
  <cp:revision>2</cp:revision>
  <dcterms:created xsi:type="dcterms:W3CDTF">2013-12-23T23:15:00Z</dcterms:created>
  <dcterms:modified xsi:type="dcterms:W3CDTF">2026-08-12T20:52:00Z</dcterms:modified>
  <cp:category/>
</cp:coreProperties>
</file>